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ORTAK GİDER VE AVANS BORCU ÖDEME İHTARI</w:t>
      </w:r>
    </w:p>
    <w:p>
      <w:pPr>
        <w:widowControl/>
        <w:spacing w:after="60"/>
      </w:pPr>
      <w:r>
        <w:rPr>
          <w:b/>
        </w:rPr>
        <w:t xml:space="preserve">Anagayrimenkul / site : </w:t>
      </w:r>
      <w:r>
        <w:t>[ADI, ADRESİ, ADA-PARSEL]</w:t>
      </w:r>
    </w:p>
    <w:p>
      <w:pPr>
        <w:widowControl/>
        <w:spacing w:after="60"/>
      </w:pPr>
      <w:r>
        <w:rPr>
          <w:b/>
        </w:rPr>
        <w:t xml:space="preserve">İlgili yönetim birimi : </w:t>
      </w:r>
      <w:r>
        <w:t>[ANAGAYRİMENKUL / BLOK / TOPLU YAPI KURULU]</w:t>
      </w:r>
    </w:p>
    <w:p>
      <w:pPr>
        <w:widowControl/>
        <w:spacing w:after="60"/>
      </w:pPr>
      <w:r>
        <w:rPr>
          <w:b/>
        </w:rPr>
        <w:t xml:space="preserve">Yönetim planı : </w:t>
      </w:r>
      <w:r>
        <w:t>[TARİH, İLGİLİ MADDE]</w:t>
      </w:r>
    </w:p>
    <w:p>
      <w:pPr>
        <w:widowControl/>
        <w:spacing w:after="60"/>
      </w:pPr>
      <w:r>
        <w:rPr>
          <w:b/>
        </w:rPr>
        <w:t xml:space="preserve">İhtar eden : </w:t>
      </w:r>
      <w:r>
        <w:t>[YÖNETİCİ, AD SOYAD, SEÇİM KARARI]</w:t>
      </w:r>
    </w:p>
    <w:p>
      <w:pPr>
        <w:widowControl/>
        <w:spacing w:after="60"/>
      </w:pPr>
      <w:r>
        <w:rPr>
          <w:b/>
        </w:rPr>
        <w:t xml:space="preserve">Muhatap malik : </w:t>
      </w:r>
      <w:r>
        <w:t>[AD SOYAD, ADRES, BAĞIMSIZ BÖLÜM]</w:t>
      </w:r>
    </w:p>
    <w:p>
      <w:pPr>
        <w:widowControl/>
        <w:spacing w:after="60"/>
      </w:pPr>
      <w:r>
        <w:rPr>
          <w:b/>
        </w:rPr>
        <w:t xml:space="preserve">Hesap tarihi : </w:t>
      </w:r>
      <w:r>
        <w:t>[TARİH]</w:t>
      </w:r>
    </w:p>
    <w:p>
      <w:pPr>
        <w:widowControl/>
        <w:jc w:val="both"/>
      </w:pPr>
      <w:r>
        <w:rPr>
          <w:b w:val="0"/>
          <w:i w:val="0"/>
        </w:rPr>
      </w:r>
      <w:r>
        <w:rPr>
          <w:b/>
          <w:i w:val="0"/>
        </w:rPr>
        <w:t>[TARİH VE KARAR NO]</w:t>
      </w:r>
      <w:r>
        <w:rPr>
          <w:b w:val="0"/>
          <w:i w:val="0"/>
        </w:rPr>
        <w:t xml:space="preserve"> tarihli kurul kararı / onaylı işletme projesi ve </w:t>
      </w:r>
      <w:r>
        <w:rPr>
          <w:b/>
          <w:i w:val="0"/>
        </w:rPr>
        <w:t>[YÖNETİM PLANI MADDESİ]</w:t>
      </w:r>
      <w:r>
        <w:rPr>
          <w:b w:val="0"/>
          <w:i w:val="0"/>
        </w:rPr>
        <w:t xml:space="preserve"> uyarınca bağımsız bölümünüze düşen, aşağıda dönem ve hesap dayanağı gösterilen ortak gider/avans borcu ödenmemiştir. Daha önce yapılan ödemeler mahsup edilmiştir.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84"/>
        <w:gridCol w:w="2245"/>
        <w:gridCol w:w="1310"/>
        <w:gridCol w:w="1310"/>
        <w:gridCol w:w="1497"/>
        <w:gridCol w:w="1310"/>
      </w:tblGrid>
      <w:tr>
        <w:trPr>
          <w:cantSplit/>
          <w:tblHeader/>
        </w:trPr>
        <w:tc>
          <w:tcPr>
            <w:tcW w:type="dxa" w:w="1684"/>
            <w:vAlign w:val="center"/>
            <w:tcMar>
              <w:top w:w="100" w:type="dxa"/>
              <w:left w:w="100" w:type="dxa"/>
              <w:bottom w:w="100" w:type="dxa"/>
              <w:right w:w="100" w:type="dxa"/>
            </w:tcMar>
            <w:shd w:fill="EAEDEF"/>
          </w:tcPr>
          <w:p>
            <w:pPr>
              <w:spacing w:after="0" w:before="0" w:line="252" w:lineRule="auto"/>
              <w:jc w:val="center"/>
            </w:pPr>
            <w:r>
              <w:rPr>
                <w:b/>
                <w:i w:val="0"/>
                <w:sz w:val="22"/>
              </w:rPr>
              <w:t>Dönem / gider</w:t>
            </w:r>
          </w:p>
        </w:tc>
        <w:tc>
          <w:tcPr>
            <w:tcW w:type="dxa" w:w="2245"/>
            <w:vAlign w:val="center"/>
            <w:tcMar>
              <w:top w:w="100" w:type="dxa"/>
              <w:left w:w="100" w:type="dxa"/>
              <w:bottom w:w="100" w:type="dxa"/>
              <w:right w:w="100" w:type="dxa"/>
            </w:tcMar>
            <w:shd w:fill="EAEDEF"/>
          </w:tcPr>
          <w:p>
            <w:pPr>
              <w:spacing w:after="0" w:before="0" w:line="252" w:lineRule="auto"/>
            </w:pPr>
            <w:r>
              <w:rPr>
                <w:b/>
                <w:i w:val="0"/>
                <w:sz w:val="22"/>
              </w:rPr>
              <w:t>Dayanak ve paylaşım oranı</w:t>
            </w:r>
          </w:p>
        </w:tc>
        <w:tc>
          <w:tcPr>
            <w:tcW w:type="dxa" w:w="1310"/>
            <w:vAlign w:val="center"/>
            <w:tcMar>
              <w:top w:w="100" w:type="dxa"/>
              <w:left w:w="100" w:type="dxa"/>
              <w:bottom w:w="100" w:type="dxa"/>
              <w:right w:w="100" w:type="dxa"/>
            </w:tcMar>
            <w:shd w:fill="EAEDEF"/>
          </w:tcPr>
          <w:p>
            <w:pPr>
              <w:spacing w:after="0" w:before="0" w:line="252" w:lineRule="auto"/>
            </w:pPr>
            <w:r>
              <w:rPr>
                <w:b/>
                <w:i w:val="0"/>
                <w:sz w:val="22"/>
              </w:rPr>
              <w:t>Vade</w:t>
            </w:r>
          </w:p>
        </w:tc>
        <w:tc>
          <w:tcPr>
            <w:tcW w:type="dxa" w:w="1310"/>
            <w:vAlign w:val="center"/>
            <w:tcMar>
              <w:top w:w="100" w:type="dxa"/>
              <w:left w:w="100" w:type="dxa"/>
              <w:bottom w:w="100" w:type="dxa"/>
              <w:right w:w="100" w:type="dxa"/>
            </w:tcMar>
            <w:shd w:fill="EAEDEF"/>
          </w:tcPr>
          <w:p>
            <w:pPr>
              <w:spacing w:after="0" w:before="0" w:line="252" w:lineRule="auto"/>
            </w:pPr>
            <w:r>
              <w:rPr>
                <w:b/>
                <w:i w:val="0"/>
                <w:sz w:val="22"/>
              </w:rPr>
              <w:t>Ana borç</w:t>
            </w:r>
          </w:p>
        </w:tc>
        <w:tc>
          <w:tcPr>
            <w:tcW w:type="dxa" w:w="1497"/>
            <w:vAlign w:val="center"/>
            <w:tcMar>
              <w:top w:w="100" w:type="dxa"/>
              <w:left w:w="100" w:type="dxa"/>
              <w:bottom w:w="100" w:type="dxa"/>
              <w:right w:w="100" w:type="dxa"/>
            </w:tcMar>
            <w:shd w:fill="EAEDEF"/>
          </w:tcPr>
          <w:p>
            <w:pPr>
              <w:spacing w:after="0" w:before="0" w:line="252" w:lineRule="auto"/>
            </w:pPr>
            <w:r>
              <w:rPr>
                <w:b/>
                <w:i w:val="0"/>
                <w:sz w:val="22"/>
              </w:rPr>
              <w:t>Ödeme / mahsup</w:t>
            </w:r>
          </w:p>
        </w:tc>
        <w:tc>
          <w:tcPr>
            <w:tcW w:type="dxa" w:w="1310"/>
            <w:vAlign w:val="center"/>
            <w:tcMar>
              <w:top w:w="100" w:type="dxa"/>
              <w:left w:w="100" w:type="dxa"/>
              <w:bottom w:w="100" w:type="dxa"/>
              <w:right w:w="100" w:type="dxa"/>
            </w:tcMar>
            <w:shd w:fill="EAEDEF"/>
          </w:tcPr>
          <w:p>
            <w:pPr>
              <w:spacing w:after="0" w:before="0" w:line="252" w:lineRule="auto"/>
            </w:pPr>
            <w:r>
              <w:rPr>
                <w:b/>
                <w:i w:val="0"/>
                <w:sz w:val="22"/>
              </w:rPr>
              <w:t>Bakiye</w:t>
            </w:r>
          </w:p>
        </w:tc>
      </w:tr>
      <w:tr>
        <w:trPr>
          <w:cantSplit/>
        </w:trPr>
        <w:tc>
          <w:tcPr>
            <w:tcW w:type="dxa" w:w="1684"/>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[DÖNEM-KALEM]</w:t>
            </w:r>
            <w:r>
              <w:rPr>
                <w:b w:val="0"/>
                <w:i w:val="0"/>
                <w:sz w:val="22"/>
              </w:rPr>
            </w:r>
          </w:p>
        </w:tc>
        <w:tc>
          <w:tcPr>
            <w:tcW w:type="dxa" w:w="2245"/>
            <w:vAlign w:val="center"/>
            <w:tcMar>
              <w:top w:w="100" w:type="dxa"/>
              <w:left w:w="100" w:type="dxa"/>
              <w:bottom w:w="100" w:type="dxa"/>
              <w:right w:w="100" w:type="dxa"/>
            </w:tcMar>
          </w:tcPr>
          <w:p>
            <w:pPr>
              <w:spacing w:after="0" w:before="0" w:line="252" w:lineRule="auto"/>
            </w:pPr>
            <w:r>
              <w:rPr>
                <w:b w:val="0"/>
                <w:i w:val="0"/>
                <w:sz w:val="22"/>
              </w:rPr>
            </w:r>
            <w:r>
              <w:rPr>
                <w:b/>
                <w:i w:val="0"/>
                <w:sz w:val="22"/>
              </w:rPr>
              <w:t>[KARAR, ORAN]</w:t>
            </w:r>
            <w:r>
              <w:rPr>
                <w:b w:val="0"/>
                <w:i w:val="0"/>
                <w:sz w:val="22"/>
              </w:rPr>
            </w:r>
          </w:p>
        </w:tc>
        <w:tc>
          <w:tcPr>
            <w:tcW w:type="dxa" w:w="1310"/>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c>
          <w:tcPr>
            <w:tcW w:type="dxa" w:w="1310"/>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1497"/>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1310"/>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1684"/>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[DÖNEM-KALEM]</w:t>
            </w:r>
            <w:r>
              <w:rPr>
                <w:b w:val="0"/>
                <w:i w:val="0"/>
                <w:sz w:val="22"/>
              </w:rPr>
            </w:r>
          </w:p>
        </w:tc>
        <w:tc>
          <w:tcPr>
            <w:tcW w:type="dxa" w:w="2245"/>
            <w:vAlign w:val="center"/>
            <w:tcMar>
              <w:top w:w="100" w:type="dxa"/>
              <w:left w:w="100" w:type="dxa"/>
              <w:bottom w:w="100" w:type="dxa"/>
              <w:right w:w="100" w:type="dxa"/>
            </w:tcMar>
          </w:tcPr>
          <w:p>
            <w:pPr>
              <w:spacing w:after="0" w:before="0" w:line="252" w:lineRule="auto"/>
            </w:pPr>
            <w:r>
              <w:rPr>
                <w:b w:val="0"/>
                <w:i w:val="0"/>
                <w:sz w:val="22"/>
              </w:rPr>
            </w:r>
            <w:r>
              <w:rPr>
                <w:b/>
                <w:i w:val="0"/>
                <w:sz w:val="22"/>
              </w:rPr>
              <w:t>[KARAR, ORAN]</w:t>
            </w:r>
            <w:r>
              <w:rPr>
                <w:b w:val="0"/>
                <w:i w:val="0"/>
                <w:sz w:val="22"/>
              </w:rPr>
            </w:r>
          </w:p>
        </w:tc>
        <w:tc>
          <w:tcPr>
            <w:tcW w:type="dxa" w:w="1310"/>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c>
          <w:tcPr>
            <w:tcW w:type="dxa" w:w="1310"/>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1497"/>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1310"/>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bl>
    <w:p>
      <w:pPr>
        <w:spacing w:after="40"/>
      </w:pPr>
    </w:p>
    <w:p>
      <w:pPr>
        <w:pStyle w:val="Heading1"/>
        <w:widowControl/>
      </w:pPr>
      <w:r>
        <w:rPr>
          <w:b/>
          <w:i w:val="0"/>
        </w:rPr>
        <w:t>Gecikme hesabı ve toplam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77"/>
        <w:gridCol w:w="4677"/>
      </w:tblGrid>
      <w:tr>
        <w:trPr>
          <w:cantSplit/>
          <w:tblHeader/>
        </w:trPr>
        <w:tc>
          <w:tcPr>
            <w:tcW w:type="dxa" w:w="4677"/>
            <w:vAlign w:val="center"/>
            <w:tcMar>
              <w:top w:w="100" w:type="dxa"/>
              <w:left w:w="100" w:type="dxa"/>
              <w:bottom w:w="100" w:type="dxa"/>
              <w:right w:w="100" w:type="dxa"/>
            </w:tcMar>
            <w:shd w:fill="EAEDEF"/>
          </w:tcPr>
          <w:p>
            <w:pPr>
              <w:spacing w:after="0" w:before="0" w:line="252" w:lineRule="auto"/>
            </w:pPr>
            <w:r>
              <w:rPr>
                <w:b/>
                <w:i w:val="0"/>
                <w:sz w:val="22"/>
              </w:rPr>
              <w:t>Kalem</w:t>
            </w:r>
          </w:p>
        </w:tc>
        <w:tc>
          <w:tcPr>
            <w:tcW w:type="dxa" w:w="4677"/>
            <w:vAlign w:val="center"/>
            <w:tcMar>
              <w:top w:w="100" w:type="dxa"/>
              <w:left w:w="100" w:type="dxa"/>
              <w:bottom w:w="100" w:type="dxa"/>
              <w:right w:w="100" w:type="dxa"/>
            </w:tcMar>
            <w:shd w:fill="EAEDEF"/>
          </w:tcPr>
          <w:p>
            <w:pPr>
              <w:spacing w:after="0" w:before="0" w:line="252" w:lineRule="auto"/>
            </w:pPr>
            <w:r>
              <w:rPr>
                <w:b/>
                <w:i w:val="0"/>
                <w:sz w:val="22"/>
              </w:rPr>
              <w:t>Tutar / dayanak</w:t>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Asıl borç toplamı</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t xml:space="preserve"> TL</w:t>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Gecikme tazminatı</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[BAŞLANGIÇ-BİTİŞ, ORAN, SÜRE, AYRI HESAP]</w:t>
            </w:r>
            <w:r>
              <w:rPr>
                <w:b w:val="0"/>
                <w:i w:val="0"/>
                <w:sz w:val="22"/>
              </w:rPr>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Mahsuplar sonrası talep</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[TOPLAM]</w:t>
            </w:r>
            <w:r>
              <w:rPr>
                <w:b w:val="0"/>
                <w:i w:val="0"/>
                <w:sz w:val="22"/>
              </w:rPr>
              <w:t xml:space="preserve"> TL</w:t>
            </w:r>
          </w:p>
        </w:tc>
      </w:tr>
    </w:tbl>
    <w:p>
      <w:pPr>
        <w:spacing w:after="40"/>
      </w:pPr>
    </w:p>
    <w:p>
      <w:pPr>
        <w:widowControl/>
        <w:jc w:val="both"/>
      </w:pPr>
      <w:r>
        <w:rPr>
          <w:b w:val="0"/>
          <w:i w:val="0"/>
        </w:rPr>
        <w:t xml:space="preserve">Karar/proje bildiriminin tarihi ve yöntemi </w:t>
      </w:r>
      <w:r>
        <w:rPr>
          <w:b/>
          <w:i w:val="0"/>
        </w:rPr>
        <w:t>[BİLGİ]</w:t>
      </w:r>
      <w:r>
        <w:rPr>
          <w:b w:val="0"/>
          <w:i w:val="0"/>
        </w:rPr>
        <w:t xml:space="preserve">dir. Gecikme başlangıcı her borç kalemi için muacceliyet ve bildirim koşulları gözetilerek hesaplanmıştır. Geçici işletme projesine dayalı avans varsa proje tarihi, bildirim ve kurul onay süreci </w:t>
      </w:r>
      <w:r>
        <w:rPr>
          <w:b/>
          <w:i w:val="0"/>
        </w:rPr>
        <w:t>[BİLGİ]</w:t>
      </w:r>
      <w:r>
        <w:rPr>
          <w:b w:val="0"/>
          <w:i w:val="0"/>
        </w:rPr>
        <w:t>dir.</w:t>
      </w:r>
    </w:p>
    <w:p>
      <w:pPr>
        <w:widowControl/>
        <w:jc w:val="both"/>
      </w:pPr>
      <w:r>
        <w:rPr>
          <w:b w:val="0"/>
          <w:i w:val="0"/>
        </w:rPr>
        <w:t xml:space="preserve">Toplam </w:t>
      </w:r>
      <w:r>
        <w:rPr>
          <w:b/>
          <w:i w:val="0"/>
        </w:rPr>
        <w:t>[TUTAR]</w:t>
      </w:r>
      <w:r>
        <w:rPr>
          <w:b w:val="0"/>
          <w:i w:val="0"/>
        </w:rPr>
        <w:t xml:space="preserve"> TL’nin bu bildirimin alınmasından itibaren </w:t>
      </w:r>
      <w:r>
        <w:rPr>
          <w:b/>
          <w:i w:val="0"/>
        </w:rPr>
        <w:t>[SÜRE]</w:t>
      </w:r>
      <w:r>
        <w:rPr>
          <w:b w:val="0"/>
          <w:i w:val="0"/>
        </w:rPr>
        <w:t xml:space="preserve"> içinde </w:t>
      </w:r>
      <w:r>
        <w:rPr>
          <w:b/>
          <w:i w:val="0"/>
        </w:rPr>
        <w:t>[HESAP SAHİBİ / IBAN]</w:t>
      </w:r>
      <w:r>
        <w:rPr>
          <w:b w:val="0"/>
          <w:i w:val="0"/>
        </w:rPr>
        <w:t xml:space="preserve"> hesabına, açıklamaya bölüm no ve dönemi yazarak ödenmesini ihtar ederim. Ödendiği hâlde hesapta görünmeyen tutarlar varsa dekontun yönetimle paylaşılmasını isterim. Belirtilen sürede ödeme veya belgeye dayalı mutabakat sağlanmazsa kanuni takip yollarına başvurulacaktır.</w:t>
      </w:r>
    </w:p>
    <w:p>
      <w:pPr>
        <w:keepLines/>
        <w:widowControl/>
        <w:spacing w:before="240"/>
        <w:jc w:val="right"/>
      </w:pPr>
      <w:r>
        <w:rPr>
          <w:b w:val="0"/>
          <w:i w:val="0"/>
        </w:rPr>
        <w:t>Yönetici / yetkili temsilci</w:t>
        <w:br/>
      </w:r>
      <w:r>
        <w:rPr>
          <w:b/>
          <w:i w:val="0"/>
        </w:rPr>
        <w:t>[AD SOYAD, SIFAT, İMZA]</w:t>
      </w:r>
      <w:r>
        <w:rPr>
          <w:b w:val="0"/>
          <w:i w:val="0"/>
        </w:rPr>
      </w:r>
    </w:p>
    <w:p>
      <w:pPr>
        <w:pStyle w:val="Heading1"/>
        <w:widowControl/>
      </w:pPr>
      <w:r>
        <w:rPr>
          <w:b/>
          <w:i w:val="0"/>
        </w:rPr>
        <w:t>EKLER</w:t>
      </w:r>
    </w:p>
    <w:p>
      <w:pPr>
        <w:widowControl/>
      </w:pPr>
      <w:r>
        <w:rPr>
          <w:b w:val="0"/>
          <w:i w:val="0"/>
        </w:rPr>
        <w:t>1. Onaylı işletme projesi/kurul kararı</w:t>
      </w:r>
    </w:p>
    <w:p>
      <w:pPr>
        <w:widowControl/>
      </w:pPr>
      <w:r>
        <w:rPr>
          <w:b w:val="0"/>
          <w:i w:val="0"/>
        </w:rPr>
        <w:t>2. Bildirim belgesi</w:t>
      </w:r>
    </w:p>
    <w:p>
      <w:pPr>
        <w:widowControl/>
      </w:pPr>
      <w:r>
        <w:rPr>
          <w:b w:val="0"/>
          <w:i w:val="0"/>
        </w:rPr>
        <w:t>3. Dönem bazlı hesap ve ödeme mahsupları</w:t>
      </w:r>
    </w:p>
    <w:sectPr w:rsidR="00FC693F" w:rsidRPr="0006063C" w:rsidSect="00034616">
      <w:footerReference w:type="default" r:id="rId9"/>
      <w:pgSz w:w="11906" w:h="16838"/>
      <w:pgMar w:top="1020" w:right="1276" w:bottom="102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line="25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Aidat Borcu İhtarnamesi</dc:title>
  <dc:subject>Apartman ve Site Yönetimi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