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ANLAŞMALI BOŞANMA PROTOKOLÜ</w:t>
      </w:r>
    </w:p>
    <w:p>
      <w:pPr>
        <w:widowControl/>
        <w:spacing w:after="80"/>
      </w:pPr>
      <w:r>
        <w:rPr>
          <w:b/>
        </w:rPr>
        <w:t xml:space="preserve">Birinci eş : </w:t>
      </w:r>
      <w:r>
        <w:t>[AD SOYAD, T.C. KİMLİK NO, ADRES]</w:t>
      </w:r>
    </w:p>
    <w:p>
      <w:pPr>
        <w:widowControl/>
        <w:spacing w:after="80"/>
      </w:pPr>
      <w:r>
        <w:rPr>
          <w:b/>
        </w:rPr>
        <w:t xml:space="preserve">İkinci eş : </w:t>
      </w:r>
      <w:r>
        <w:t>[AD SOYAD, T.C. KİMLİK NO, ADRES]</w:t>
      </w:r>
    </w:p>
    <w:p>
      <w:pPr>
        <w:widowControl/>
        <w:spacing w:after="80"/>
      </w:pPr>
      <w:r>
        <w:rPr>
          <w:b/>
        </w:rPr>
        <w:t xml:space="preserve">Evlilik tarihi : </w:t>
      </w:r>
      <w:r>
        <w:t>[TARİH]</w:t>
      </w:r>
    </w:p>
    <w:p>
      <w:pPr>
        <w:widowControl/>
        <w:spacing w:after="80"/>
      </w:pPr>
      <w:r>
        <w:rPr>
          <w:b/>
        </w:rPr>
        <w:t xml:space="preserve">Çocuklar : </w:t>
      </w:r>
      <w:r>
        <w:t>[AD, DOĞUM TARİHİ, KİMLİK NO / YOK]</w:t>
      </w:r>
    </w:p>
    <w:p>
      <w:pPr>
        <w:widowControl/>
        <w:spacing w:after="80"/>
      </w:pPr>
      <w:r>
        <w:rPr>
          <w:b/>
        </w:rPr>
        <w:t xml:space="preserve">Dava dosyası — varsa : </w:t>
      </w:r>
      <w:r>
        <w:t>[MAHKEME, ESAS NO]</w:t>
      </w:r>
    </w:p>
    <w:p>
      <w:pPr>
        <w:pStyle w:val="Heading1"/>
        <w:widowControl/>
      </w:pPr>
      <w:r>
        <w:rPr>
          <w:b/>
          <w:i w:val="0"/>
        </w:rPr>
        <w:t>1. Boşanma iradesi</w:t>
      </w:r>
    </w:p>
    <w:p>
      <w:pPr>
        <w:widowControl/>
        <w:jc w:val="both"/>
      </w:pPr>
      <w:r>
        <w:rPr>
          <w:b w:val="0"/>
          <w:i w:val="0"/>
        </w:rPr>
        <w:t>Taraflar, en az bir yıldır süren evliliklerinin anlaşmalı boşanmayla sona ermesini istemektedir. Aşağıdaki düzenlemeleri serbest iradeleriyle kabul etmiş olup mahkeme huzurunda bizzat açıklayacaklardır. Protokol, hâkimin uygun bulduğu ve hükme aldığı kapsamda uygulanacaktır.</w:t>
      </w:r>
    </w:p>
    <w:p>
      <w:pPr>
        <w:pStyle w:val="Heading1"/>
        <w:widowControl/>
      </w:pPr>
      <w:r>
        <w:rPr>
          <w:b/>
          <w:i w:val="0"/>
        </w:rPr>
        <w:t>2. Çocuğun velayeti ve bakım düzeni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[ÇOCUK YOKSA BU BÖLÜM SİLİNİR.]</w:t>
      </w:r>
      <w:r>
        <w:rPr>
          <w:b w:val="0"/>
          <w:i w:val="0"/>
        </w:rPr>
        <w:t xml:space="preserve"> Ortak çocuk </w:t>
      </w:r>
      <w:r>
        <w:rPr>
          <w:b/>
          <w:i w:val="0"/>
        </w:rPr>
        <w:t>[AD]</w:t>
      </w:r>
      <w:r>
        <w:rPr>
          <w:b w:val="0"/>
          <w:i w:val="0"/>
        </w:rPr>
        <w:t xml:space="preserve">ın velayetinin </w:t>
      </w:r>
      <w:r>
        <w:rPr>
          <w:b/>
          <w:i w:val="0"/>
        </w:rPr>
        <w:t>[ANNE/BABA ADI]</w:t>
      </w:r>
      <w:r>
        <w:rPr>
          <w:b w:val="0"/>
          <w:i w:val="0"/>
        </w:rPr>
        <w:t xml:space="preserve">na verilmesi kabul edilmiştir. Çocuğun fiilî yaşam ve okul düzeni </w:t>
      </w:r>
      <w:r>
        <w:rPr>
          <w:b/>
          <w:i w:val="0"/>
        </w:rPr>
        <w:t>[ADRES, OKUL, BAKIM DÜZENİ]</w:t>
      </w:r>
      <w:r>
        <w:rPr>
          <w:b w:val="0"/>
          <w:i w:val="0"/>
        </w:rPr>
        <w:t xml:space="preserve">dir. Sağlık, okul ve acil durum bilgileri diğer ebeveyne </w:t>
      </w:r>
      <w:r>
        <w:rPr>
          <w:b/>
          <w:i w:val="0"/>
        </w:rPr>
        <w:t>[İLETİŞİM YOLU]</w:t>
      </w:r>
      <w:r>
        <w:rPr>
          <w:b w:val="0"/>
          <w:i w:val="0"/>
        </w:rPr>
        <w:t xml:space="preserve"> ile zamanında aktarılır. Çocuğun üstün yararına aykırı davranılmayacaktır.</w:t>
      </w:r>
    </w:p>
    <w:p>
      <w:pPr>
        <w:pStyle w:val="Heading1"/>
        <w:widowControl/>
      </w:pPr>
      <w:r>
        <w:rPr>
          <w:b/>
          <w:i w:val="0"/>
        </w:rPr>
        <w:t>3. Kişisel ilişki takvimi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Dönem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Başlangıç / bitiş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Teslim yeri ve sorumlusu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Olağan hafta sonu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[AYIN HANGİ HAFTASI, GÜN VE SAAT]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[YER, ALACAK / GETİRECEK KİŞİ]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Yarıyıl / yaz tatili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[KESİN ARALIK VE SAATLER]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[YER VE ULAŞIM]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Dinî bayramlar / özel günler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[TEK-ÇİFT YIL VE ÇAKIŞMA ÖNCELİĞİ]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[TESLİM DÜZENİ]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Telefon / görüntülü görüşme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[GÜN, SAAT, MAKUL SÜRE]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[İLETİŞİM]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Takvim çocuğun yaşına, eğitimine ve sağlık gereksinimlerine uygun olarak belirlenmiştir. Dönemlerin çakışması hâlinde </w:t>
      </w:r>
      <w:r>
        <w:rPr>
          <w:b/>
          <w:i w:val="0"/>
        </w:rPr>
        <w:t>[ÖNCELİK KURALI]</w:t>
      </w:r>
      <w:r>
        <w:rPr>
          <w:b w:val="0"/>
          <w:i w:val="0"/>
        </w:rPr>
        <w:t xml:space="preserve"> uygulanır. Hastalık ve zorunlu değişiklikler karşı tarafa gecikmeden bildirilir; kalıcı değişiklik için taraf anlaşması ve gerektiğinde mahkeme kararı aranır.</w:t>
      </w:r>
    </w:p>
    <w:p>
      <w:pPr>
        <w:pStyle w:val="Heading1"/>
        <w:widowControl/>
      </w:pPr>
      <w:r>
        <w:rPr>
          <w:b/>
          <w:i w:val="0"/>
        </w:rPr>
        <w:t>4. Çocuk için iştirak nafakası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[YÜKÜMLÜ EŞ]</w:t>
      </w:r>
      <w:r>
        <w:rPr>
          <w:b w:val="0"/>
          <w:i w:val="0"/>
        </w:rPr>
        <w:t xml:space="preserve">, </w:t>
      </w:r>
      <w:r>
        <w:rPr>
          <w:b/>
          <w:i w:val="0"/>
        </w:rPr>
        <w:t>[HER ÇOCUK İÇİN AYRI AD VE TUTAR]</w:t>
      </w:r>
      <w:r>
        <w:rPr>
          <w:b w:val="0"/>
          <w:i w:val="0"/>
        </w:rPr>
        <w:t xml:space="preserve"> olmak üzere aylık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iştirak nafakasını boşanma hükmünün kesinleşmesinden itibaren her ayın </w:t>
      </w:r>
      <w:r>
        <w:rPr>
          <w:b/>
          <w:i w:val="0"/>
        </w:rPr>
        <w:t>[GÜNÜ]</w:t>
      </w:r>
      <w:r>
        <w:rPr>
          <w:b w:val="0"/>
          <w:i w:val="0"/>
        </w:rPr>
        <w:t xml:space="preserve"> </w:t>
      </w:r>
      <w:r>
        <w:rPr>
          <w:b/>
          <w:i w:val="0"/>
        </w:rPr>
        <w:t>[IBAN]</w:t>
      </w:r>
      <w:r>
        <w:rPr>
          <w:b w:val="0"/>
          <w:i w:val="0"/>
        </w:rPr>
        <w:t xml:space="preserve"> hesabına öder. İlk ödeme ve sonraki artış tarihi </w:t>
      </w:r>
      <w:r>
        <w:rPr>
          <w:b/>
          <w:i w:val="0"/>
        </w:rPr>
        <w:t>[TARİHLER]</w:t>
      </w:r>
      <w:r>
        <w:rPr>
          <w:b w:val="0"/>
          <w:i w:val="0"/>
        </w:rPr>
        <w:t xml:space="preserve">, artış ölçütü </w:t>
      </w:r>
      <w:r>
        <w:rPr>
          <w:b/>
          <w:i w:val="0"/>
        </w:rPr>
        <w:t>[AÇIK ENDEKS / ORAN]</w:t>
      </w:r>
      <w:r>
        <w:rPr>
          <w:b w:val="0"/>
          <w:i w:val="0"/>
        </w:rPr>
        <w:t xml:space="preserve">dır.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belgelendirilen olağan dışı eğitim/sağlık giderlerinin paylaşımı </w:t>
      </w:r>
      <w:r>
        <w:rPr>
          <w:b/>
          <w:i w:val="0"/>
        </w:rPr>
        <w:t>[KAPSAM, ONAY VE ÖDEME USULÜ]</w:t>
      </w:r>
      <w:r>
        <w:rPr>
          <w:b w:val="0"/>
          <w:i w:val="0"/>
        </w:rPr>
        <w:t>dür. Çocuğun kanundan doğan nafaka ve değişen koşullarda artırma hakları bertaraf edilmez.</w:t>
      </w:r>
    </w:p>
    <w:p>
      <w:pPr>
        <w:pStyle w:val="Heading1"/>
        <w:widowControl/>
      </w:pPr>
      <w:r>
        <w:rPr>
          <w:b/>
          <w:i w:val="0"/>
        </w:rPr>
        <w:t>5. Eşler arasındaki nafaka</w:t>
      </w:r>
    </w:p>
    <w:p>
      <w:pPr>
        <w:widowControl/>
        <w:jc w:val="both"/>
      </w:pPr>
      <w:r>
        <w:rPr>
          <w:b w:val="0"/>
          <w:i w:val="0"/>
        </w:rPr>
        <w:t xml:space="preserve">Tarafların yoksulluk nafakasına ilişkin üzerinde anlaştıkları tek düzenleme şudur: </w:t>
      </w:r>
      <w:r>
        <w:rPr>
          <w:b/>
          <w:i w:val="0"/>
        </w:rPr>
        <w:t>[HAK SAHİBİ, AYLIK VEYA TOPTAN TUTAR, BAŞLANGIÇ, VADE, IBAN, VARSA ARTIŞ / İLGİLİ EŞİN YOKSULLUK NAFAKASI İSTEMEDİĞİNE İLİŞKİN AÇIK BEYANI]</w:t>
      </w:r>
      <w:r>
        <w:rPr>
          <w:b w:val="0"/>
          <w:i w:val="0"/>
        </w:rPr>
        <w:t xml:space="preserve">. Dava süresindeki tedbir nafakası ve mevcut ödemeler ayrıca şöyle düzenlenmiştir: </w:t>
      </w:r>
      <w:r>
        <w:rPr>
          <w:b/>
          <w:i w:val="0"/>
        </w:rPr>
        <w:t>[TUTAR, MAHSUP VE SÜRE]</w:t>
      </w:r>
      <w:r>
        <w:rPr>
          <w:b w:val="0"/>
          <w:i w:val="0"/>
        </w:rPr>
        <w:t>.</w:t>
      </w:r>
    </w:p>
    <w:p>
      <w:pPr>
        <w:pStyle w:val="Heading1"/>
        <w:widowControl/>
      </w:pPr>
      <w:r>
        <w:rPr>
          <w:b/>
          <w:i w:val="0"/>
        </w:rPr>
        <w:t>6. Maddi ve manevi tazminat</w:t>
      </w:r>
    </w:p>
    <w:p>
      <w:pPr>
        <w:widowControl/>
        <w:jc w:val="both"/>
      </w:pPr>
      <w:r>
        <w:rPr>
          <w:b w:val="0"/>
          <w:i w:val="0"/>
        </w:rPr>
        <w:t xml:space="preserve">TMK m.174 kapsamındaki maddi tazminat hakkında </w:t>
      </w:r>
      <w:r>
        <w:rPr>
          <w:b/>
          <w:i w:val="0"/>
        </w:rPr>
        <w:t>[ÖDEYECEK EŞ, ALACAKLI, TUTAR VE VADE / TALEP OLMADIĞI]</w:t>
      </w:r>
      <w:r>
        <w:rPr>
          <w:b w:val="0"/>
          <w:i w:val="0"/>
        </w:rPr>
        <w:t xml:space="preserve">; manevi tazminat hakkında </w:t>
      </w:r>
      <w:r>
        <w:rPr>
          <w:b/>
          <w:i w:val="0"/>
        </w:rPr>
        <w:t>[ÖDEYECEK EŞ, ALACAKLI, TOPTAN TUTAR VE VADE / TALEP OLMADIĞI]</w:t>
      </w:r>
      <w:r>
        <w:rPr>
          <w:b w:val="0"/>
          <w:i w:val="0"/>
        </w:rPr>
        <w:t xml:space="preserve"> kararlaştırılmıştır. Taksitli maddi tazminat varsa takvim ayrı eklenmiştir. Henüz yapılmayan ödeme alınmış sayılmaz.</w:t>
      </w:r>
    </w:p>
    <w:p>
      <w:pPr>
        <w:pStyle w:val="Heading1"/>
        <w:widowControl/>
      </w:pPr>
      <w:r>
        <w:rPr>
          <w:b/>
          <w:i w:val="0"/>
        </w:rPr>
        <w:t>7. Konut, eşya ve ziynet</w:t>
      </w:r>
    </w:p>
    <w:p>
      <w:pPr>
        <w:widowControl/>
        <w:jc w:val="both"/>
      </w:pPr>
      <w:r>
        <w:rPr>
          <w:b w:val="0"/>
          <w:i w:val="0"/>
        </w:rPr>
        <w:t xml:space="preserve">Ortak konutun kullanımı ve tahliye/anahtar teslimi </w:t>
      </w:r>
      <w:r>
        <w:rPr>
          <w:b/>
          <w:i w:val="0"/>
        </w:rPr>
        <w:t>[TARİH VE KOŞULLAR]</w:t>
      </w:r>
      <w:r>
        <w:rPr>
          <w:b w:val="0"/>
          <w:i w:val="0"/>
        </w:rPr>
        <w:t xml:space="preserve">; ev eşyalarının paylaşımı </w:t>
      </w:r>
      <w:r>
        <w:rPr>
          <w:b/>
          <w:i w:val="0"/>
        </w:rPr>
        <w:t>[TEK TEK LİSTE / AYRI EK]</w:t>
      </w:r>
      <w:r>
        <w:rPr>
          <w:b w:val="0"/>
          <w:i w:val="0"/>
        </w:rPr>
        <w:t xml:space="preserve">; ziynet ve kişisel eşyalar hakkındaki düzenleme </w:t>
      </w:r>
      <w:r>
        <w:rPr>
          <w:b/>
          <w:i w:val="0"/>
        </w:rPr>
        <w:t>[CİNS, ADET, AĞIRLIK, TESLİM YÜKÜMLÜSÜ, VADE VEYA AÇIKÇA SAKLI TUTULAN TALEP]</w:t>
      </w:r>
      <w:r>
        <w:rPr>
          <w:b w:val="0"/>
          <w:i w:val="0"/>
        </w:rPr>
        <w:t xml:space="preserve"> şeklindedir. Belirsiz “tüm eşyalar alındı” kaydı yerine fiilî teslimler ayrı tutanakla gösterilir.</w:t>
      </w:r>
    </w:p>
    <w:p>
      <w:pPr>
        <w:pStyle w:val="Heading1"/>
        <w:widowControl/>
      </w:pPr>
      <w:r>
        <w:rPr>
          <w:b/>
          <w:i w:val="0"/>
        </w:rPr>
        <w:t>8. Mal rejiminin tasfiyesi ve diğer alacaklar</w:t>
      </w:r>
    </w:p>
    <w:p>
      <w:pPr>
        <w:widowControl/>
        <w:jc w:val="both"/>
      </w:pPr>
      <w:r>
        <w:rPr>
          <w:b w:val="0"/>
          <w:i w:val="0"/>
        </w:rPr>
        <w:t xml:space="preserve">Mal rejiminden doğan katılma, değer artış payı, katkı ve diğer talepler bakımından anlaşmanın kapsamı: </w:t>
      </w:r>
      <w:r>
        <w:rPr>
          <w:b/>
          <w:i w:val="0"/>
        </w:rPr>
        <w:t>[SOMUT MAL/ALACAK, TARAFLARIN EDİMLERİ, BEDEL, VADE / BU KONULARIN PROTOKOL DIŞINDA BIRAKILDIĞI VE HAKLARIN SAKLI OLDUĞU]</w:t>
      </w:r>
      <w:r>
        <w:rPr>
          <w:b w:val="0"/>
          <w:i w:val="0"/>
        </w:rPr>
        <w:t>. Protokol kapsamı dışında bırakılan haklar hakkında genel ibra kabul edilmez. Taşınmaz devri veya banka borcunun üstlenilmesi kararlaştırılmışsa resmî işlem ve üçüncü kişi onayı gereklilikleri ayrıca yerine getirilir.</w:t>
      </w:r>
    </w:p>
    <w:p>
      <w:pPr>
        <w:pStyle w:val="Heading1"/>
        <w:widowControl/>
      </w:pPr>
      <w:r>
        <w:rPr>
          <w:b/>
          <w:i w:val="0"/>
        </w:rPr>
        <w:t>9. Yargılama giderleri ve yürürlük</w:t>
      </w:r>
    </w:p>
    <w:p>
      <w:pPr>
        <w:widowControl/>
        <w:jc w:val="both"/>
      </w:pPr>
      <w:r>
        <w:rPr>
          <w:b w:val="0"/>
          <w:i w:val="0"/>
        </w:rPr>
        <w:t xml:space="preserve">Harç ve yargılama giderleri </w:t>
      </w:r>
      <w:r>
        <w:rPr>
          <w:b/>
          <w:i w:val="0"/>
        </w:rPr>
        <w:t>[PAYLAŞIM]</w:t>
      </w:r>
      <w:r>
        <w:rPr>
          <w:b w:val="0"/>
          <w:i w:val="0"/>
        </w:rPr>
        <w:t xml:space="preserve">; tarafların kendi vekilleriyle ücret ilişkileri ve birbirlerinden talep ettikleri vekâlet ücreti </w:t>
      </w:r>
      <w:r>
        <w:rPr>
          <w:b/>
          <w:i w:val="0"/>
        </w:rPr>
        <w:t>[AÇIK DÜZENLEME]</w:t>
      </w:r>
      <w:r>
        <w:rPr>
          <w:b w:val="0"/>
          <w:i w:val="0"/>
        </w:rPr>
        <w:t xml:space="preserve"> olarak kararlaştırılmıştır. Taraflar protokolü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[NÜSHA]</w:t>
      </w:r>
      <w:r>
        <w:rPr>
          <w:b w:val="0"/>
          <w:i w:val="0"/>
        </w:rPr>
        <w:t xml:space="preserve"> nüsha imzalamıştır. Hâkimin önerdiği değişiklikler ancak tarafların kabulüyle anlaşmanın parçası olur.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Birinci eş</w:t>
        <w:br/>
      </w:r>
      <w:r>
        <w:rPr>
          <w:b/>
          <w:i w:val="0"/>
        </w:rPr>
        <w:t>[AD — İMZA]</w:t>
      </w:r>
      <w:r>
        <w:rPr>
          <w:b w:val="0"/>
          <w:i w:val="0"/>
        </w:rPr>
        <w:br/>
        <w:t>İkinci eş</w:t>
        <w:br/>
      </w:r>
      <w:r>
        <w:rPr>
          <w:b/>
          <w:i w:val="0"/>
        </w:rPr>
        <w:t>[AD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Kişisel ilişki takvimi</w:t>
      </w:r>
    </w:p>
    <w:p>
      <w:pPr>
        <w:widowControl/>
      </w:pPr>
      <w:r>
        <w:rPr>
          <w:b w:val="0"/>
          <w:i w:val="0"/>
        </w:rPr>
        <w:t>2. Eşya / ziynet teslim listesi — varsa</w:t>
      </w:r>
    </w:p>
    <w:p>
      <w:pPr>
        <w:widowControl/>
      </w:pPr>
      <w:r>
        <w:rPr>
          <w:b w:val="0"/>
          <w:i w:val="0"/>
        </w:rPr>
        <w:t>3. Taksit / malvarlığı düzenleme eki — varsa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Anlaşmalı Boşanma Protokolü</dc:title>
  <dc:subject>Aile ve Boşanma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