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t>BAYİLİK SÖZLEŞMESİ</w:t>
      </w:r>
    </w:p>
    <w:p>
      <w:pPr>
        <w:widowControl/>
        <w:spacing w:after="80"/>
      </w:pPr>
      <w:r>
        <w:rPr>
          <w:b/>
        </w:rPr>
        <w:t xml:space="preserve">Sağlayıcı : </w:t>
      </w:r>
      <w:r>
        <w:t>[UNVAN, VERGİ/MERSİS NO, ADRES, YETKİLİ]</w:t>
      </w:r>
    </w:p>
    <w:p>
      <w:pPr>
        <w:widowControl/>
        <w:spacing w:after="80"/>
      </w:pPr>
      <w:r>
        <w:rPr>
          <w:b/>
        </w:rPr>
        <w:t xml:space="preserve">Bayi : </w:t>
      </w:r>
      <w:r>
        <w:t>[UNVAN, VERGİ/MERSİS NO, ADRES, YETKİLİ]</w:t>
      </w:r>
    </w:p>
    <w:p>
      <w:pPr>
        <w:widowControl/>
        <w:spacing w:after="80"/>
      </w:pPr>
      <w:r>
        <w:rPr>
          <w:b/>
        </w:rPr>
        <w:t xml:space="preserve">Tarih / dönem : </w:t>
      </w:r>
      <w:r>
        <w:t>[TARİH] / [BAŞLANGIÇ–BİTİŞ]</w:t>
      </w:r>
    </w:p>
    <w:p>
      <w:pPr>
        <w:pStyle w:val="Heading1"/>
        <w:widowControl/>
      </w:pPr>
      <w:r>
        <w:rPr>
          <w:b/>
          <w:i w:val="0"/>
        </w:rPr>
        <w:t>1. Bayilik ve bağımsızlık</w:t>
      </w:r>
    </w:p>
    <w:p>
      <w:pPr>
        <w:widowControl/>
        <w:jc w:val="both"/>
      </w:pPr>
      <w:r>
        <w:rPr>
          <w:b w:val="0"/>
          <w:i w:val="0"/>
        </w:rPr>
        <w:t xml:space="preserve">Sağlayıcı, Ek-1 ürünlerinin </w:t>
      </w:r>
      <w:r>
        <w:rPr>
          <w:b/>
          <w:i w:val="0"/>
        </w:rPr>
        <w:t>[BÖLGE/İŞYERİ]</w:t>
      </w:r>
      <w:r>
        <w:rPr>
          <w:b w:val="0"/>
          <w:i w:val="0"/>
        </w:rPr>
        <w:t xml:space="preserve"> içinde satışı için bayiyi yetkilendirir. Bayi ürünleri kendi adına ve hesabına alıp satar; ayrıca yazılı temsil yetkisi verilmedikçe sağlayıcı adına borçlandırıcı işlem yapamaz. Bayilik </w:t>
      </w:r>
      <w:r>
        <w:rPr>
          <w:b/>
          <w:i w:val="0"/>
        </w:rPr>
        <w:t>[MÜNHASIR/MÜNHASIR OLMAYAN]</w:t>
      </w:r>
      <w:r>
        <w:rPr>
          <w:b w:val="0"/>
          <w:i w:val="0"/>
        </w:rPr>
        <w:t xml:space="preserve"> niteliktedir; münhasırlık varsa konusu ve istisnaları Ek-1 içinde açıkça gösterilir.</w:t>
      </w:r>
    </w:p>
    <w:p>
      <w:pPr>
        <w:pStyle w:val="Heading1"/>
        <w:widowControl/>
      </w:pPr>
      <w:r>
        <w:rPr>
          <w:b/>
          <w:i w:val="0"/>
        </w:rPr>
        <w:t>2. Sipariş ve teslim</w:t>
      </w:r>
    </w:p>
    <w:p>
      <w:pPr>
        <w:widowControl/>
        <w:jc w:val="both"/>
      </w:pPr>
      <w:r>
        <w:rPr>
          <w:b w:val="0"/>
          <w:i w:val="0"/>
        </w:rPr>
        <w:t xml:space="preserve">Siparişler ürün kodu, miktar, bedel ve teslim tarihini içerecek şekilde </w:t>
      </w:r>
      <w:r>
        <w:rPr>
          <w:b/>
          <w:i w:val="0"/>
        </w:rPr>
        <w:t>[KANAL]</w:t>
      </w:r>
      <w:r>
        <w:rPr>
          <w:b w:val="0"/>
          <w:i w:val="0"/>
        </w:rPr>
        <w:t xml:space="preserve"> üzerinden iletilir. Sağlayıcının </w:t>
      </w:r>
      <w:r>
        <w:rPr>
          <w:b/>
          <w:i w:val="0"/>
        </w:rPr>
        <w:t>[GÜN]</w:t>
      </w:r>
      <w:r>
        <w:rPr>
          <w:b w:val="0"/>
          <w:i w:val="0"/>
        </w:rPr>
        <w:t xml:space="preserve"> içinde yazılı teyit ettiği sipariş bağlayıcı olur. Teslim yeri </w:t>
      </w:r>
      <w:r>
        <w:rPr>
          <w:b/>
          <w:i w:val="0"/>
        </w:rPr>
        <w:t>[YER]</w:t>
      </w:r>
      <w:r>
        <w:rPr>
          <w:b w:val="0"/>
          <w:i w:val="0"/>
        </w:rPr>
        <w:t xml:space="preserve">, taşıma ve sigorta giderini üstlenen </w:t>
      </w:r>
      <w:r>
        <w:rPr>
          <w:b/>
          <w:i w:val="0"/>
        </w:rPr>
        <w:t>[TARAF]</w:t>
      </w:r>
      <w:r>
        <w:rPr>
          <w:b w:val="0"/>
          <w:i w:val="0"/>
        </w:rPr>
        <w:t xml:space="preserve">, hasar riskinin geçiş anı </w:t>
      </w:r>
      <w:r>
        <w:rPr>
          <w:b/>
          <w:i w:val="0"/>
        </w:rPr>
        <w:t>[AN]</w:t>
      </w:r>
      <w:r>
        <w:rPr>
          <w:b w:val="0"/>
          <w:i w:val="0"/>
        </w:rPr>
        <w:t xml:space="preserve"> olarak belirlenmiştir. Teyit edilmemiş talep tahmini asgari alım yükümlülüğü doğurmaz.</w:t>
      </w:r>
    </w:p>
    <w:p>
      <w:pPr>
        <w:pStyle w:val="Heading1"/>
        <w:widowControl/>
      </w:pPr>
      <w:r>
        <w:rPr>
          <w:b/>
          <w:i w:val="0"/>
        </w:rPr>
        <w:t>3. Fiyat ve ödeme</w:t>
      </w:r>
    </w:p>
    <w:p>
      <w:pPr>
        <w:widowControl/>
        <w:jc w:val="both"/>
      </w:pPr>
      <w:r>
        <w:rPr>
          <w:b w:val="0"/>
          <w:i w:val="0"/>
        </w:rPr>
        <w:t xml:space="preserve">Alış fiyatları Ek-2 listesine göre belirlenir; değişiklikler </w:t>
      </w:r>
      <w:r>
        <w:rPr>
          <w:b/>
          <w:i w:val="0"/>
        </w:rPr>
        <w:t>[GÜN]</w:t>
      </w:r>
      <w:r>
        <w:rPr>
          <w:b w:val="0"/>
          <w:i w:val="0"/>
        </w:rPr>
        <w:t xml:space="preserve"> önce bildirilir ve kabul edilmiş siparişlere geriye yürütülmez. Vade </w:t>
      </w:r>
      <w:r>
        <w:rPr>
          <w:b/>
          <w:i w:val="0"/>
        </w:rPr>
        <w:t>[GÜN]</w:t>
      </w:r>
      <w:r>
        <w:rPr>
          <w:b w:val="0"/>
          <w:i w:val="0"/>
        </w:rPr>
        <w:t xml:space="preserve">, para birimi </w:t>
      </w:r>
      <w:r>
        <w:rPr>
          <w:b/>
          <w:i w:val="0"/>
        </w:rPr>
        <w:t>[BİRİM]</w:t>
      </w:r>
      <w:r>
        <w:rPr>
          <w:b w:val="0"/>
          <w:i w:val="0"/>
        </w:rPr>
        <w:t xml:space="preserve">, iskonto koşulları </w:t>
      </w:r>
      <w:r>
        <w:rPr>
          <w:b/>
          <w:i w:val="0"/>
        </w:rPr>
        <w:t>[KOŞUL]</w:t>
      </w:r>
      <w:r>
        <w:rPr>
          <w:b w:val="0"/>
          <w:i w:val="0"/>
        </w:rPr>
        <w:t xml:space="preserve"> olup KDV ve diğer giderlerin durumu listede ayrıdır. Bayi kendi yeniden satış fiyatını serbestçe belirler; tavsiye fiyatlar zorunlu asgari veya sabit satış fiyatına dönüştürülemez.</w:t>
      </w:r>
    </w:p>
    <w:p>
      <w:pPr>
        <w:pStyle w:val="Heading1"/>
        <w:widowControl/>
      </w:pPr>
      <w:r>
        <w:rPr>
          <w:b/>
          <w:i w:val="0"/>
        </w:rPr>
        <w:t>4. Satış hedefi ve pazarlama</w:t>
      </w:r>
    </w:p>
    <w:p>
      <w:pPr>
        <w:widowControl/>
        <w:jc w:val="both"/>
      </w:pPr>
      <w:r>
        <w:rPr>
          <w:b w:val="0"/>
          <w:i w:val="0"/>
        </w:rPr>
        <w:t xml:space="preserve">Taraflar </w:t>
      </w:r>
      <w:r>
        <w:rPr>
          <w:b/>
          <w:i w:val="0"/>
        </w:rPr>
        <w:t>[DÖNEM]</w:t>
      </w:r>
      <w:r>
        <w:rPr>
          <w:b w:val="0"/>
          <w:i w:val="0"/>
        </w:rPr>
        <w:t xml:space="preserve"> için </w:t>
      </w:r>
      <w:r>
        <w:rPr>
          <w:b/>
          <w:i w:val="0"/>
        </w:rPr>
        <w:t>[MİKTAR/TUTAR]</w:t>
      </w:r>
      <w:r>
        <w:rPr>
          <w:b w:val="0"/>
          <w:i w:val="0"/>
        </w:rPr>
        <w:t xml:space="preserve"> hedefini ve sağlayıcının reklam/eğitim desteğini Ek-3 ile belirler. Hedefin gerçekleşmemesi önce nedenleri ve tedarik performansı birlikte değerlendirilerek yazılı iyileştirme planına konu edilir. Sözleşmede ayrıca açık ve geçerli bir hüküm bulunmadan otomatik ceza veya zorunlu stok yüklemesi yapılmaz.</w:t>
      </w:r>
    </w:p>
    <w:p>
      <w:pPr>
        <w:pStyle w:val="Heading1"/>
        <w:widowControl/>
      </w:pPr>
      <w:r>
        <w:rPr>
          <w:b/>
          <w:i w:val="0"/>
        </w:rPr>
        <w:t>5. Marka kullanımı</w:t>
      </w:r>
    </w:p>
    <w:p>
      <w:pPr>
        <w:widowControl/>
        <w:jc w:val="both"/>
      </w:pPr>
      <w:r>
        <w:rPr>
          <w:b w:val="0"/>
          <w:i w:val="0"/>
        </w:rPr>
        <w:t>Bayi marka ve görselleri yalnız sözleşme konusu ürünlerin tanıtımı için, süreyle sınırlı ve devredilemez biçimde kullanır. Marka adına alan adı, sosyal medya hesabı veya tescil başvurusu sağlayıcının yazılı iznine bağlıdır. Bayi bağımsız ticari kimliğini müşteri belgelerinde açık tutar; yanıltıcı yetkili servis veya üretici sıfatı kullanmaz.</w:t>
      </w:r>
    </w:p>
    <w:p>
      <w:pPr>
        <w:pStyle w:val="Heading1"/>
        <w:widowControl/>
      </w:pPr>
      <w:r>
        <w:rPr>
          <w:b/>
          <w:i w:val="0"/>
        </w:rPr>
        <w:t>6. Ürün uygunluğu ve müşteri talepleri</w:t>
      </w:r>
    </w:p>
    <w:p>
      <w:pPr>
        <w:widowControl/>
        <w:jc w:val="both"/>
      </w:pPr>
      <w:r>
        <w:rPr>
          <w:b w:val="0"/>
          <w:i w:val="0"/>
        </w:rPr>
        <w:t xml:space="preserve">Sağlayıcı ürünün teknik belge, mevzuat uygunluğu ve kendisine düşen garanti desteğini sağlar. Bayi saklama koşullarına uyar, seri/parti takibini tutar ve müşteri şikâyetlerini </w:t>
      </w:r>
      <w:r>
        <w:rPr>
          <w:b/>
          <w:i w:val="0"/>
        </w:rPr>
        <w:t>[GÜN]</w:t>
      </w:r>
      <w:r>
        <w:rPr>
          <w:b w:val="0"/>
          <w:i w:val="0"/>
        </w:rPr>
        <w:t xml:space="preserve"> içinde iletir. Tarafların aralarındaki gider paylaşımı tüketicinin kanuni haklarını daraltmaz. Ayıp ve hasar bildirimleri muayene ve ihbar süreleri korunarak yapılır; iadede ürün ve kusur kaydı tutulur.</w:t>
      </w:r>
    </w:p>
    <w:p>
      <w:pPr>
        <w:pStyle w:val="Heading1"/>
        <w:widowControl/>
      </w:pPr>
      <w:r>
        <w:rPr>
          <w:b/>
          <w:i w:val="0"/>
        </w:rPr>
        <w:t>7. Gizlilik ve veriler</w:t>
      </w:r>
    </w:p>
    <w:p>
      <w:pPr>
        <w:widowControl/>
        <w:jc w:val="both"/>
      </w:pPr>
      <w:r>
        <w:rPr>
          <w:b w:val="0"/>
          <w:i w:val="0"/>
        </w:rPr>
        <w:t>Fiyat, müşteri ve stok bilgileri yalnız ifa için kullanılır. Müşteri kişisel verileri, tarafların ayrı hukuki yükümlülükleri belirlenmeden topluca devredilemez. Ticari sır saklama yükümlülüğü ilişki sona erdikten sonra da sır niteliği devam ettiği sürece korunur.</w:t>
      </w:r>
    </w:p>
    <w:p>
      <w:pPr>
        <w:pStyle w:val="Heading1"/>
        <w:widowControl/>
      </w:pPr>
      <w:r>
        <w:rPr>
          <w:b/>
          <w:i w:val="0"/>
        </w:rPr>
        <w:t>8. Süre ve fesih</w:t>
      </w:r>
    </w:p>
    <w:p>
      <w:pPr>
        <w:widowControl/>
        <w:jc w:val="both"/>
      </w:pPr>
      <w:r>
        <w:rPr>
          <w:b w:val="0"/>
          <w:i w:val="0"/>
        </w:rPr>
        <w:t xml:space="preserve">Sözleşme belirtilen dönemde geçerlidir; uzama </w:t>
      </w:r>
      <w:r>
        <w:rPr>
          <w:b/>
          <w:i w:val="0"/>
        </w:rPr>
        <w:t>[YAZILI YENİLEME/ÖNCEDEN BİLDİRİM]</w:t>
      </w:r>
      <w:r>
        <w:rPr>
          <w:b w:val="0"/>
          <w:i w:val="0"/>
        </w:rPr>
        <w:t xml:space="preserve"> koşuluna bağlıdır. Esaslı ihlal yazılı bildirimle açıklanır ve giderilebilir ihlale </w:t>
      </w:r>
      <w:r>
        <w:rPr>
          <w:b/>
          <w:i w:val="0"/>
        </w:rPr>
        <w:t>[GÜN]</w:t>
      </w:r>
      <w:r>
        <w:rPr>
          <w:b w:val="0"/>
          <w:i w:val="0"/>
        </w:rPr>
        <w:t xml:space="preserve"> gün tanınır. İhlalin sürmesi veya ilişkinin sürdürülmesini beklenemez kılan haklı neden hâlinde fesih hakkı kullanılabilir. Kanuni bildirim şekilleri saklıdır.</w:t>
      </w:r>
    </w:p>
    <w:p>
      <w:pPr>
        <w:pStyle w:val="Heading1"/>
        <w:widowControl/>
      </w:pPr>
      <w:r>
        <w:rPr>
          <w:b/>
          <w:i w:val="0"/>
        </w:rPr>
        <w:t>9. Sona erme hesabı</w:t>
      </w:r>
    </w:p>
    <w:p>
      <w:pPr>
        <w:widowControl/>
        <w:jc w:val="both"/>
      </w:pPr>
      <w:r>
        <w:rPr>
          <w:b w:val="0"/>
          <w:i w:val="0"/>
        </w:rPr>
        <w:t xml:space="preserve">Sona ermede ödenmemiş faturalar, kabul edilmiş siparişler ve müşteri garanti talepleri ayrı listeye alınır. Satılabilir stokların geri alımı </w:t>
      </w:r>
      <w:r>
        <w:rPr>
          <w:b/>
          <w:i w:val="0"/>
        </w:rPr>
        <w:t>[ÜRÜN, DEĞERLEME, İADE SÜRESİ]</w:t>
      </w:r>
      <w:r>
        <w:rPr>
          <w:b w:val="0"/>
          <w:i w:val="0"/>
        </w:rPr>
        <w:t xml:space="preserve"> koşullarına göre yapılır. Marka kullanımına son verilir; tarafların kanunen doğabilecek tazminat veya denkleştirme talepleri peşinen ortadan kaldırılmaz.</w:t>
      </w:r>
    </w:p>
    <w:p>
      <w:pPr>
        <w:pStyle w:val="Heading1"/>
        <w:widowControl/>
      </w:pPr>
      <w:r>
        <w:rPr>
          <w:b/>
          <w:i w:val="0"/>
        </w:rPr>
        <w:t>10. Son hükümler</w:t>
      </w:r>
    </w:p>
    <w:p>
      <w:pPr>
        <w:widowControl/>
        <w:jc w:val="both"/>
      </w:pPr>
      <w:r>
        <w:rPr>
          <w:b w:val="0"/>
          <w:i w:val="0"/>
        </w:rPr>
        <w:t xml:space="preserve">Ekler sözleşmenin parçasıdır. Değişiklikler yetkili temsilcilerce yazılı yapılır. Türk hukuku uygulanır; görevli ve yetkili merci kanuna göre belirlenir. Tacirler arasında ayrıca yetki sözleşmesi yapılacaksa belirli hukuki ilişki ve seçilen mahkeme açıkça yazılır. Sözleşme </w:t>
      </w:r>
      <w:r>
        <w:rPr>
          <w:b/>
          <w:i w:val="0"/>
        </w:rPr>
        <w:t>[NÜSHA]</w:t>
      </w:r>
      <w:r>
        <w:rPr>
          <w:b w:val="0"/>
          <w:i w:val="0"/>
        </w:rPr>
        <w:t xml:space="preserve"> nüsha imzalanmıştır.</w:t>
      </w:r>
    </w:p>
    <w:p>
      <w:pPr>
        <w:keepLines/>
        <w:widowControl/>
        <w:spacing w:before="240"/>
        <w:jc w:val="right"/>
      </w:pPr>
      <w:r>
        <w:rPr>
          <w:b w:val="0"/>
          <w:i w:val="0"/>
        </w:rPr>
        <w:t xml:space="preserve">Sağlayıcı yetkilisi — </w:t>
      </w:r>
      <w:r>
        <w:rPr>
          <w:b/>
          <w:i w:val="0"/>
        </w:rPr>
        <w:t>[AD, SIFAT, İMZA]</w:t>
      </w:r>
      <w:r>
        <w:rPr>
          <w:b w:val="0"/>
          <w:i w:val="0"/>
        </w:rPr>
        <w:br/>
        <w:t xml:space="preserve">Bayi yetkilisi — </w:t>
      </w:r>
      <w:r>
        <w:rPr>
          <w:b/>
          <w:i w:val="0"/>
        </w:rPr>
        <w:t>[AD, SIFAT, İMZA]</w:t>
      </w:r>
      <w:r>
        <w:rPr>
          <w:b w:val="0"/>
          <w:i w:val="0"/>
        </w:rPr>
      </w:r>
    </w:p>
    <w:p>
      <w:pPr>
        <w:pStyle w:val="Heading1"/>
        <w:widowControl/>
      </w:pPr>
      <w:r>
        <w:rPr>
          <w:b/>
          <w:i w:val="0"/>
        </w:rPr>
        <w:t>EKLER</w:t>
      </w:r>
    </w:p>
    <w:p>
      <w:pPr>
        <w:widowControl/>
      </w:pPr>
      <w:r>
        <w:rPr>
          <w:b w:val="0"/>
          <w:i w:val="0"/>
        </w:rPr>
        <w:t>1. Ek-1: Ürün/bölge ve yetki kapsamı</w:t>
      </w:r>
    </w:p>
    <w:p>
      <w:pPr>
        <w:widowControl/>
      </w:pPr>
      <w:r>
        <w:rPr>
          <w:b w:val="0"/>
          <w:i w:val="0"/>
        </w:rPr>
        <w:t>2. Ek-2: Fiyat, ödeme ve teslim şartları</w:t>
      </w:r>
    </w:p>
    <w:p>
      <w:pPr>
        <w:widowControl/>
      </w:pPr>
      <w:r>
        <w:rPr>
          <w:b w:val="0"/>
          <w:i w:val="0"/>
        </w:rPr>
        <w:t>3. Ek-3: Hedef ve pazarlama planı</w:t>
      </w:r>
    </w:p>
    <w:p>
      <w:pPr>
        <w:widowControl/>
      </w:pPr>
      <w:r>
        <w:rPr>
          <w:b w:val="0"/>
          <w:i w:val="0"/>
        </w:rPr>
        <w:t>4. Temsil belgeleri</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Bayilik Sözleşmesi</dc:title>
  <dc:subject>Ticaret ve Şirketler Hukuku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