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İCRA BORCU ÖDEME PROTOKOLÜ</w:t>
      </w:r>
    </w:p>
    <w:p>
      <w:pPr>
        <w:widowControl/>
        <w:spacing w:after="80"/>
      </w:pPr>
      <w:r>
        <w:rPr>
          <w:b/>
        </w:rPr>
        <w:t xml:space="preserve">İCRA DOSYASI : </w:t>
      </w:r>
      <w:r>
        <w:t>[YER / DAİRE / YIL ESAS]</w:t>
      </w:r>
    </w:p>
    <w:p>
      <w:pPr>
        <w:widowControl/>
        <w:spacing w:after="80"/>
      </w:pPr>
      <w:r>
        <w:rPr>
          <w:b/>
        </w:rPr>
        <w:t xml:space="preserve">ALACAKLI : </w:t>
      </w:r>
      <w:r>
        <w:t>[AD SOYAD / UNVAN, KİMLİK / VERGİ NO, ADRES]</w:t>
      </w:r>
    </w:p>
    <w:p>
      <w:pPr>
        <w:widowControl/>
        <w:spacing w:after="80"/>
      </w:pPr>
      <w:r>
        <w:rPr>
          <w:b/>
        </w:rPr>
        <w:t xml:space="preserve">BORÇLU : </w:t>
      </w:r>
      <w:r>
        <w:t>[AD SOYAD / UNVAN, KİMLİK / VERGİ NO, ADRES]</w:t>
      </w:r>
    </w:p>
    <w:p>
      <w:pPr>
        <w:widowControl/>
        <w:spacing w:after="80"/>
      </w:pPr>
      <w:r>
        <w:rPr>
          <w:b/>
        </w:rPr>
        <w:t xml:space="preserve">VEKİLLER : </w:t>
      </w:r>
      <w:r>
        <w:t>[VARSA AD SOYAD, YETKİ VE TEBLİGAT BİLGİLERİ]</w:t>
      </w:r>
    </w:p>
    <w:p>
      <w:pPr>
        <w:widowControl/>
        <w:spacing w:after="80"/>
      </w:pPr>
      <w:r>
        <w:rPr>
          <w:b/>
        </w:rPr>
        <w:t xml:space="preserve">HESAP TARİHİ : </w:t>
      </w:r>
      <w:r>
        <w:t>[GG.AA.YYYY]</w:t>
      </w:r>
    </w:p>
    <w:p>
      <w:pPr>
        <w:pStyle w:val="Heading1"/>
        <w:widowControl/>
      </w:pPr>
      <w:r>
        <w:rPr>
          <w:b/>
          <w:i w:val="0"/>
        </w:rPr>
        <w:t>1 BORCUN KAPSAMI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236"/>
        <w:gridCol w:w="3118"/>
      </w:tblGrid>
      <w:tr>
        <w:trPr>
          <w:cantSplit/>
          <w:tblHeader/>
        </w:trPr>
        <w:tc>
          <w:tcPr>
            <w:tcW w:type="dxa" w:w="6236"/>
            <w:vAlign w:val="center"/>
            <w:tcMar>
              <w:top w:w="100" w:type="dxa"/>
              <w:left w:w="100" w:type="dxa"/>
              <w:bottom w:w="100" w:type="dxa"/>
              <w:right w:w="100" w:type="dxa"/>
            </w:tcMar>
            <w:shd w:fill="EAEDEF"/>
          </w:tcPr>
          <w:p>
            <w:pPr>
              <w:spacing w:after="0" w:before="0" w:line="252" w:lineRule="auto"/>
            </w:pPr>
            <w:r>
              <w:rPr>
                <w:b/>
                <w:i w:val="0"/>
                <w:sz w:val="22"/>
              </w:rPr>
              <w:t>Kalem</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Tutar TL</w:t>
            </w:r>
          </w:p>
        </w:tc>
      </w:tr>
      <w:tr>
        <w:trPr>
          <w:cantSplit/>
        </w:trPr>
        <w:tc>
          <w:tcPr>
            <w:tcW w:type="dxa" w:w="6236"/>
            <w:vAlign w:val="center"/>
            <w:tcMar>
              <w:top w:w="100" w:type="dxa"/>
              <w:left w:w="100" w:type="dxa"/>
              <w:bottom w:w="100" w:type="dxa"/>
              <w:right w:w="100" w:type="dxa"/>
            </w:tcMar>
          </w:tcPr>
          <w:p>
            <w:pPr>
              <w:spacing w:after="0" w:before="0" w:line="252" w:lineRule="auto"/>
            </w:pPr>
            <w:r>
              <w:rPr>
                <w:b w:val="0"/>
                <w:i w:val="0"/>
                <w:sz w:val="22"/>
              </w:rPr>
              <w:t>Asıl alacak</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6236"/>
            <w:vAlign w:val="center"/>
            <w:tcMar>
              <w:top w:w="100" w:type="dxa"/>
              <w:left w:w="100" w:type="dxa"/>
              <w:bottom w:w="100" w:type="dxa"/>
              <w:right w:w="100" w:type="dxa"/>
            </w:tcMar>
          </w:tcPr>
          <w:p>
            <w:pPr>
              <w:spacing w:after="0" w:before="0" w:line="252" w:lineRule="auto"/>
            </w:pPr>
            <w:r>
              <w:rPr>
                <w:b w:val="0"/>
                <w:i w:val="0"/>
                <w:sz w:val="22"/>
              </w:rPr>
              <w:t>Hesap tarihine kadar faiz</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6236"/>
            <w:vAlign w:val="center"/>
            <w:tcMar>
              <w:top w:w="100" w:type="dxa"/>
              <w:left w:w="100" w:type="dxa"/>
              <w:bottom w:w="100" w:type="dxa"/>
              <w:right w:w="100" w:type="dxa"/>
            </w:tcMar>
          </w:tcPr>
          <w:p>
            <w:pPr>
              <w:spacing w:after="0" w:before="0" w:line="252" w:lineRule="auto"/>
            </w:pPr>
            <w:r>
              <w:rPr>
                <w:b w:val="0"/>
                <w:i w:val="0"/>
                <w:sz w:val="22"/>
              </w:rPr>
              <w:t>Vekâlet ücreti</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6236"/>
            <w:vAlign w:val="center"/>
            <w:tcMar>
              <w:top w:w="100" w:type="dxa"/>
              <w:left w:w="100" w:type="dxa"/>
              <w:bottom w:w="100" w:type="dxa"/>
              <w:right w:w="100" w:type="dxa"/>
            </w:tcMar>
          </w:tcPr>
          <w:p>
            <w:pPr>
              <w:spacing w:after="0" w:before="0" w:line="252" w:lineRule="auto"/>
            </w:pPr>
            <w:r>
              <w:rPr>
                <w:b w:val="0"/>
                <w:i w:val="0"/>
                <w:sz w:val="22"/>
              </w:rPr>
              <w:t>Harç ve takip giderleri</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6236"/>
            <w:vAlign w:val="center"/>
            <w:tcMar>
              <w:top w:w="100" w:type="dxa"/>
              <w:left w:w="100" w:type="dxa"/>
              <w:bottom w:w="100" w:type="dxa"/>
              <w:right w:w="100" w:type="dxa"/>
            </w:tcMar>
          </w:tcPr>
          <w:p>
            <w:pPr>
              <w:spacing w:after="0" w:before="0" w:line="252" w:lineRule="auto"/>
            </w:pPr>
            <w:r>
              <w:rPr>
                <w:b w:val="0"/>
                <w:i w:val="0"/>
                <w:sz w:val="22"/>
              </w:rPr>
              <w:t>Önceki ödemeler / mahsuplar</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6236"/>
            <w:vAlign w:val="center"/>
            <w:tcMar>
              <w:top w:w="100" w:type="dxa"/>
              <w:left w:w="100" w:type="dxa"/>
              <w:bottom w:w="100" w:type="dxa"/>
              <w:right w:w="100" w:type="dxa"/>
            </w:tcMar>
          </w:tcPr>
          <w:p>
            <w:pPr>
              <w:spacing w:after="0" w:before="0" w:line="252" w:lineRule="auto"/>
            </w:pPr>
            <w:r>
              <w:rPr>
                <w:b w:val="0"/>
                <w:i w:val="0"/>
                <w:sz w:val="22"/>
              </w:rPr>
              <w:t>Protokole konu net bakiye</w:t>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bl>
    <w:p>
      <w:pPr>
        <w:spacing w:after="40"/>
      </w:pPr>
    </w:p>
    <w:p>
      <w:pPr>
        <w:widowControl/>
        <w:jc w:val="both"/>
      </w:pPr>
      <w:r>
        <w:rPr>
          <w:b w:val="0"/>
          <w:i w:val="0"/>
        </w:rPr>
        <w:t xml:space="preserve">Borçlu, yukarıda açıkça gösterilen borç kalemlerini kabul eder. Tarafların uzlaşması yalnız </w:t>
      </w:r>
      <w:r>
        <w:rPr>
          <w:b/>
          <w:i w:val="0"/>
        </w:rPr>
        <w:t>[BELİRLİ İCRA DOSYASI VE ALACAK]</w:t>
      </w:r>
      <w:r>
        <w:rPr>
          <w:b w:val="0"/>
          <w:i w:val="0"/>
        </w:rPr>
        <w:t xml:space="preserve"> ile sınırlıdır. Protokol tarihinden sonraki faiz uygulaması </w:t>
      </w:r>
      <w:r>
        <w:rPr>
          <w:b/>
          <w:i w:val="0"/>
        </w:rPr>
        <w:t>[FAİZ İŞLEMEYECEKTİR / YILLIK ORAN, TÜR VE MATRAH]</w:t>
      </w:r>
      <w:r>
        <w:rPr>
          <w:b w:val="0"/>
          <w:i w:val="0"/>
        </w:rPr>
        <w:t xml:space="preserve"> şeklindedir; bu seçim dışındaki ifade silinir.</w:t>
      </w:r>
    </w:p>
    <w:p>
      <w:pPr>
        <w:pStyle w:val="Heading1"/>
        <w:widowControl/>
      </w:pPr>
      <w:r>
        <w:rPr>
          <w:b/>
          <w:i w:val="0"/>
        </w:rPr>
        <w:t>2 ÖDEME PLANI</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004"/>
        <w:gridCol w:w="4009"/>
        <w:gridCol w:w="3341"/>
      </w:tblGrid>
      <w:tr>
        <w:trPr>
          <w:cantSplit/>
          <w:tblHeader/>
        </w:trPr>
        <w:tc>
          <w:tcPr>
            <w:tcW w:type="dxa" w:w="2004"/>
            <w:vAlign w:val="center"/>
            <w:tcMar>
              <w:top w:w="100" w:type="dxa"/>
              <w:left w:w="100" w:type="dxa"/>
              <w:bottom w:w="100" w:type="dxa"/>
              <w:right w:w="100" w:type="dxa"/>
            </w:tcMar>
            <w:shd w:fill="EAEDEF"/>
          </w:tcPr>
          <w:p>
            <w:pPr>
              <w:spacing w:after="0" w:before="0" w:line="252" w:lineRule="auto"/>
            </w:pPr>
            <w:r>
              <w:rPr>
                <w:b/>
                <w:i w:val="0"/>
                <w:sz w:val="22"/>
              </w:rPr>
              <w:t>Taksit</w:t>
            </w:r>
          </w:p>
        </w:tc>
        <w:tc>
          <w:tcPr>
            <w:tcW w:type="dxa" w:w="4009"/>
            <w:vAlign w:val="center"/>
            <w:tcMar>
              <w:top w:w="100" w:type="dxa"/>
              <w:left w:w="100" w:type="dxa"/>
              <w:bottom w:w="100" w:type="dxa"/>
              <w:right w:w="100" w:type="dxa"/>
            </w:tcMar>
            <w:shd w:fill="EAEDEF"/>
          </w:tcPr>
          <w:p>
            <w:pPr>
              <w:spacing w:after="0" w:before="0" w:line="252" w:lineRule="auto"/>
            </w:pPr>
            <w:r>
              <w:rPr>
                <w:b/>
                <w:i w:val="0"/>
                <w:sz w:val="22"/>
              </w:rPr>
              <w:t>Vade</w:t>
            </w:r>
          </w:p>
        </w:tc>
        <w:tc>
          <w:tcPr>
            <w:tcW w:type="dxa" w:w="3341"/>
            <w:vAlign w:val="center"/>
            <w:tcMar>
              <w:top w:w="100" w:type="dxa"/>
              <w:left w:w="100" w:type="dxa"/>
              <w:bottom w:w="100" w:type="dxa"/>
              <w:right w:w="100" w:type="dxa"/>
            </w:tcMar>
            <w:shd w:fill="EAEDEF"/>
          </w:tcPr>
          <w:p>
            <w:pPr>
              <w:spacing w:after="0" w:before="0" w:line="252" w:lineRule="auto"/>
            </w:pPr>
            <w:r>
              <w:rPr>
                <w:b/>
                <w:i w:val="0"/>
                <w:sz w:val="22"/>
              </w:rPr>
              <w:t>Tutar TL</w:t>
            </w:r>
          </w:p>
        </w:tc>
      </w:tr>
      <w:tr>
        <w:trPr>
          <w:cantSplit/>
        </w:trPr>
        <w:tc>
          <w:tcPr>
            <w:tcW w:type="dxa" w:w="2004"/>
            <w:vAlign w:val="center"/>
            <w:tcMar>
              <w:top w:w="100" w:type="dxa"/>
              <w:left w:w="100" w:type="dxa"/>
              <w:bottom w:w="100" w:type="dxa"/>
              <w:right w:w="100" w:type="dxa"/>
            </w:tcMar>
          </w:tcPr>
          <w:p>
            <w:pPr>
              <w:spacing w:after="0" w:before="0" w:line="252" w:lineRule="auto"/>
            </w:pPr>
            <w:r>
              <w:rPr>
                <w:b w:val="0"/>
                <w:i w:val="0"/>
                <w:sz w:val="22"/>
              </w:rPr>
              <w:t>1</w:t>
            </w:r>
          </w:p>
        </w:tc>
        <w:tc>
          <w:tcPr>
            <w:tcW w:type="dxa" w:w="4009"/>
            <w:vAlign w:val="center"/>
            <w:tcMar>
              <w:top w:w="100" w:type="dxa"/>
              <w:left w:w="100" w:type="dxa"/>
              <w:bottom w:w="100" w:type="dxa"/>
              <w:right w:w="100" w:type="dxa"/>
            </w:tcMar>
          </w:tcPr>
          <w:p>
            <w:pPr>
              <w:spacing w:after="0" w:before="0" w:line="252" w:lineRule="auto"/>
            </w:pPr>
            <w:r>
              <w:rPr>
                <w:b w:val="0"/>
                <w:i w:val="0"/>
                <w:sz w:val="22"/>
              </w:rPr>
            </w:r>
            <w:r>
              <w:rPr>
                <w:b/>
                <w:i w:val="0"/>
                <w:sz w:val="22"/>
              </w:rPr>
              <w:t>[GG.AA.YYYY]</w:t>
            </w:r>
            <w:r>
              <w:rPr>
                <w:b w:val="0"/>
                <w:i w:val="0"/>
                <w:sz w:val="22"/>
              </w:rPr>
            </w:r>
          </w:p>
        </w:tc>
        <w:tc>
          <w:tcPr>
            <w:tcW w:type="dxa" w:w="334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2004"/>
            <w:vAlign w:val="center"/>
            <w:tcMar>
              <w:top w:w="100" w:type="dxa"/>
              <w:left w:w="100" w:type="dxa"/>
              <w:bottom w:w="100" w:type="dxa"/>
              <w:right w:w="100" w:type="dxa"/>
            </w:tcMar>
          </w:tcPr>
          <w:p>
            <w:pPr>
              <w:spacing w:after="0" w:before="0" w:line="252" w:lineRule="auto"/>
            </w:pPr>
            <w:r>
              <w:rPr>
                <w:b w:val="0"/>
                <w:i w:val="0"/>
                <w:sz w:val="22"/>
              </w:rPr>
              <w:t>2</w:t>
            </w:r>
          </w:p>
        </w:tc>
        <w:tc>
          <w:tcPr>
            <w:tcW w:type="dxa" w:w="4009"/>
            <w:vAlign w:val="center"/>
            <w:tcMar>
              <w:top w:w="100" w:type="dxa"/>
              <w:left w:w="100" w:type="dxa"/>
              <w:bottom w:w="100" w:type="dxa"/>
              <w:right w:w="100" w:type="dxa"/>
            </w:tcMar>
          </w:tcPr>
          <w:p>
            <w:pPr>
              <w:spacing w:after="0" w:before="0" w:line="252" w:lineRule="auto"/>
            </w:pPr>
            <w:r>
              <w:rPr>
                <w:b w:val="0"/>
                <w:i w:val="0"/>
                <w:sz w:val="22"/>
              </w:rPr>
            </w:r>
            <w:r>
              <w:rPr>
                <w:b/>
                <w:i w:val="0"/>
                <w:sz w:val="22"/>
              </w:rPr>
              <w:t>[GG.AA.YYYY]</w:t>
            </w:r>
            <w:r>
              <w:rPr>
                <w:b w:val="0"/>
                <w:i w:val="0"/>
                <w:sz w:val="22"/>
              </w:rPr>
            </w:r>
          </w:p>
        </w:tc>
        <w:tc>
          <w:tcPr>
            <w:tcW w:type="dxa" w:w="334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2004"/>
            <w:vAlign w:val="center"/>
            <w:tcMar>
              <w:top w:w="100" w:type="dxa"/>
              <w:left w:w="100" w:type="dxa"/>
              <w:bottom w:w="100" w:type="dxa"/>
              <w:right w:w="100" w:type="dxa"/>
            </w:tcMar>
          </w:tcPr>
          <w:p>
            <w:pPr>
              <w:spacing w:after="0" w:before="0" w:line="252" w:lineRule="auto"/>
            </w:pPr>
            <w:r>
              <w:rPr>
                <w:b w:val="0"/>
                <w:i w:val="0"/>
                <w:sz w:val="22"/>
              </w:rPr>
              <w:t>3</w:t>
            </w:r>
          </w:p>
        </w:tc>
        <w:tc>
          <w:tcPr>
            <w:tcW w:type="dxa" w:w="4009"/>
            <w:vAlign w:val="center"/>
            <w:tcMar>
              <w:top w:w="100" w:type="dxa"/>
              <w:left w:w="100" w:type="dxa"/>
              <w:bottom w:w="100" w:type="dxa"/>
              <w:right w:w="100" w:type="dxa"/>
            </w:tcMar>
          </w:tcPr>
          <w:p>
            <w:pPr>
              <w:spacing w:after="0" w:before="0" w:line="252" w:lineRule="auto"/>
            </w:pPr>
            <w:r>
              <w:rPr>
                <w:b w:val="0"/>
                <w:i w:val="0"/>
                <w:sz w:val="22"/>
              </w:rPr>
            </w:r>
            <w:r>
              <w:rPr>
                <w:b/>
                <w:i w:val="0"/>
                <w:sz w:val="22"/>
              </w:rPr>
              <w:t>[GG.AA.YYYY]</w:t>
            </w:r>
            <w:r>
              <w:rPr>
                <w:b w:val="0"/>
                <w:i w:val="0"/>
                <w:sz w:val="22"/>
              </w:rPr>
            </w:r>
          </w:p>
        </w:tc>
        <w:tc>
          <w:tcPr>
            <w:tcW w:type="dxa" w:w="334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r>
        <w:trPr>
          <w:cantSplit/>
        </w:trPr>
        <w:tc>
          <w:tcPr>
            <w:tcW w:type="dxa" w:w="2004"/>
            <w:vAlign w:val="center"/>
            <w:tcMar>
              <w:top w:w="100" w:type="dxa"/>
              <w:left w:w="100" w:type="dxa"/>
              <w:bottom w:w="100" w:type="dxa"/>
              <w:right w:w="100" w:type="dxa"/>
            </w:tcMar>
          </w:tcPr>
          <w:p>
            <w:pPr>
              <w:spacing w:after="0" w:before="0" w:line="252" w:lineRule="auto"/>
            </w:pPr>
            <w:r>
              <w:rPr>
                <w:b w:val="0"/>
                <w:i w:val="0"/>
                <w:sz w:val="22"/>
              </w:rPr>
              <w:t>Toplam</w:t>
            </w:r>
          </w:p>
        </w:tc>
        <w:tc>
          <w:tcPr>
            <w:tcW w:type="dxa" w:w="4009"/>
            <w:vAlign w:val="center"/>
            <w:tcMar>
              <w:top w:w="100" w:type="dxa"/>
              <w:left w:w="100" w:type="dxa"/>
              <w:bottom w:w="100" w:type="dxa"/>
              <w:right w:w="100" w:type="dxa"/>
            </w:tcMar>
          </w:tcPr>
          <w:p>
            <w:pPr>
              <w:spacing w:after="0" w:before="0" w:line="252" w:lineRule="auto"/>
            </w:pPr>
            <w:r>
              <w:rPr>
                <w:b w:val="0"/>
                <w:i w:val="0"/>
                <w:sz w:val="22"/>
              </w:rPr>
              <w:t>—</w:t>
            </w:r>
          </w:p>
        </w:tc>
        <w:tc>
          <w:tcPr>
            <w:tcW w:type="dxa" w:w="3341"/>
            <w:vAlign w:val="center"/>
            <w:tcMar>
              <w:top w:w="100" w:type="dxa"/>
              <w:left w:w="100" w:type="dxa"/>
              <w:bottom w:w="100" w:type="dxa"/>
              <w:right w:w="100" w:type="dxa"/>
            </w:tcMar>
          </w:tcPr>
          <w:p>
            <w:pPr>
              <w:spacing w:after="0" w:before="0" w:line="252" w:lineRule="auto"/>
            </w:pPr>
            <w:r>
              <w:rPr>
                <w:b w:val="0"/>
                <w:i w:val="0"/>
                <w:sz w:val="22"/>
              </w:rPr>
            </w:r>
            <w:r>
              <w:rPr>
                <w:b/>
                <w:i w:val="0"/>
                <w:sz w:val="22"/>
              </w:rPr>
              <w:t>[TUTAR]</w:t>
            </w:r>
            <w:r>
              <w:rPr>
                <w:b w:val="0"/>
                <w:i w:val="0"/>
                <w:sz w:val="22"/>
              </w:rPr>
            </w:r>
          </w:p>
        </w:tc>
      </w:tr>
    </w:tbl>
    <w:p>
      <w:pPr>
        <w:spacing w:after="40"/>
      </w:pPr>
    </w:p>
    <w:p>
      <w:pPr>
        <w:widowControl/>
        <w:jc w:val="both"/>
      </w:pPr>
      <w:r>
        <w:rPr>
          <w:b w:val="0"/>
          <w:i w:val="0"/>
        </w:rPr>
        <w:t xml:space="preserve">Ödemeler </w:t>
      </w:r>
      <w:r>
        <w:rPr>
          <w:b/>
          <w:i w:val="0"/>
        </w:rPr>
        <w:t>[İCRA DOSYASI HESABI / ALACAKLININ HESABI, BANKA VE IBAN]</w:t>
      </w:r>
      <w:r>
        <w:rPr>
          <w:b w:val="0"/>
          <w:i w:val="0"/>
        </w:rPr>
        <w:t xml:space="preserve"> üzerinden, açıklamaya dosya numarası ve taksit bilgisi yazılarak yapılır. Alacaklıya doğrudan yapılan her tahsilat alacaklı tarafından dosyaya bildirilir. Aynı ödeme ikinci kez talep edilemez.</w:t>
      </w:r>
    </w:p>
    <w:p>
      <w:pPr>
        <w:pStyle w:val="Heading1"/>
        <w:widowControl/>
      </w:pPr>
      <w:r>
        <w:rPr>
          <w:b/>
          <w:i w:val="0"/>
        </w:rPr>
        <w:t>3 TAKİP VE HACİZLERİN DURUMU</w:t>
      </w:r>
    </w:p>
    <w:p>
      <w:pPr>
        <w:widowControl/>
        <w:jc w:val="both"/>
      </w:pPr>
      <w:r>
        <w:rPr>
          <w:b w:val="0"/>
          <w:i w:val="0"/>
        </w:rPr>
        <w:t xml:space="preserve">Planın düzenli ifası süresince alacaklının dosyada talep edeceği işlem </w:t>
      </w:r>
      <w:r>
        <w:rPr>
          <w:b/>
          <w:i w:val="0"/>
        </w:rPr>
        <w:t>[SATIŞ İSTEMEME / MEVCUT İŞLEMLERİ ERTELEME / DİĞER AÇIK MUTABAKAT]</w:t>
      </w:r>
      <w:r>
        <w:rPr>
          <w:b w:val="0"/>
          <w:i w:val="0"/>
        </w:rPr>
        <w:t xml:space="preserve"> olarak belirlenmiştir. Mevcut hacizlerin durumu </w:t>
      </w:r>
      <w:r>
        <w:rPr>
          <w:b/>
          <w:i w:val="0"/>
        </w:rPr>
        <w:t>[KORUNACAK HACİZLER / KALDIRILACAK BELİRLİ HACİZLER VE ŞARTLARI]</w:t>
      </w:r>
      <w:r>
        <w:rPr>
          <w:b w:val="0"/>
          <w:i w:val="0"/>
        </w:rPr>
        <w:t xml:space="preserve"> şeklindedir. Taraflar gerekli usul taleplerini ayrıca dosyaya sunar.</w:t>
      </w:r>
    </w:p>
    <w:p>
      <w:pPr>
        <w:pStyle w:val="Heading1"/>
        <w:widowControl/>
      </w:pPr>
      <w:r>
        <w:rPr>
          <w:b/>
          <w:i w:val="0"/>
        </w:rPr>
        <w:t>4 GECİKME VE EKSİK ÖDEME</w:t>
      </w:r>
    </w:p>
    <w:p>
      <w:pPr>
        <w:widowControl/>
        <w:jc w:val="both"/>
      </w:pPr>
      <w:r>
        <w:rPr>
          <w:b w:val="0"/>
          <w:i w:val="0"/>
        </w:rPr>
        <w:t xml:space="preserve">Bir taksit eksik veya geç ödenirse </w:t>
      </w:r>
      <w:r>
        <w:rPr>
          <w:b/>
          <w:i w:val="0"/>
        </w:rPr>
        <w:t>[YAZILI BİLDİRİM VE EK SÜRE / UYGULANACAK DİĞER KOŞUL]</w:t>
      </w:r>
      <w:r>
        <w:rPr>
          <w:b w:val="0"/>
          <w:i w:val="0"/>
        </w:rPr>
        <w:t xml:space="preserve"> işletilir. Geçerli biçimde kararlaştırılmış muacceliyet ve faiz sonuçları </w:t>
      </w:r>
      <w:r>
        <w:rPr>
          <w:b/>
          <w:i w:val="0"/>
        </w:rPr>
        <w:t>[AÇIK ŞARTLAR]</w:t>
      </w:r>
      <w:r>
        <w:rPr>
          <w:b w:val="0"/>
          <w:i w:val="0"/>
        </w:rPr>
        <w:t xml:space="preserve"> ile sınırlıdır. Yapılmış ödemeler bakiye hesabından düşülür; tahsil edilmiş kısım yeniden takip edilemez.</w:t>
      </w:r>
    </w:p>
    <w:p>
      <w:pPr>
        <w:pStyle w:val="Heading1"/>
        <w:widowControl/>
      </w:pPr>
      <w:r>
        <w:rPr>
          <w:b/>
          <w:i w:val="0"/>
        </w:rPr>
        <w:t>5 TAM İFA VE DOSYANIN KAPATILMASI</w:t>
      </w:r>
    </w:p>
    <w:p>
      <w:pPr>
        <w:widowControl/>
        <w:jc w:val="both"/>
      </w:pPr>
      <w:r>
        <w:rPr>
          <w:b w:val="0"/>
          <w:i w:val="0"/>
        </w:rPr>
        <w:t xml:space="preserve">Protokoldeki borç tamamen ödendiğinde alacaklı tahsil beyanını </w:t>
      </w:r>
      <w:r>
        <w:rPr>
          <w:b/>
          <w:i w:val="0"/>
        </w:rPr>
        <w:t>[SÜRE]</w:t>
      </w:r>
      <w:r>
        <w:rPr>
          <w:b w:val="0"/>
          <w:i w:val="0"/>
        </w:rPr>
        <w:t xml:space="preserve"> içinde sunar. Yasal harç ve giderler karşılandıktan sonra dosyanın kapatılması ve bu dosyadan konulan hacizlerin kaldırılması için gerekli taleplerde bulunur. İbra yalnız tamamen ödenen ve bu protokolde açıkça belirtilen alacaklarla sınırlıdır.</w:t>
      </w:r>
    </w:p>
    <w:p>
      <w:pPr>
        <w:pStyle w:val="Heading1"/>
        <w:widowControl/>
      </w:pPr>
      <w:r>
        <w:rPr>
          <w:b/>
          <w:i w:val="0"/>
        </w:rPr>
        <w:t>6 NİTELİK VE İMZA</w:t>
      </w:r>
    </w:p>
    <w:p>
      <w:pPr>
        <w:widowControl/>
        <w:jc w:val="both"/>
      </w:pPr>
      <w:r>
        <w:rPr>
          <w:b w:val="0"/>
          <w:i w:val="0"/>
        </w:rPr>
        <w:t>Bu metin taraflar arasında özel hukuk ödeme protokolüdür. İcra dairesinde kanuni koşullarıyla alınmış ödeme taahhüdünün veya icra müdürünce düzenlenen tutanağın yerine geçmez. Metnin kendisi, taahhüdü ihlal nedeniyle tazyik hapsi sonucu doğuracağı anlamına gelmez.</w:t>
      </w:r>
    </w:p>
    <w:p>
      <w:pPr>
        <w:widowControl/>
        <w:jc w:val="both"/>
      </w:pPr>
      <w:r>
        <w:rPr>
          <w:b w:val="0"/>
          <w:i w:val="0"/>
        </w:rPr>
        <w:t xml:space="preserve">Protokol </w:t>
      </w:r>
      <w:r>
        <w:rPr>
          <w:b/>
          <w:i w:val="0"/>
        </w:rPr>
        <w:t>[YER]</w:t>
      </w:r>
      <w:r>
        <w:rPr>
          <w:b w:val="0"/>
          <w:i w:val="0"/>
        </w:rPr>
        <w:t xml:space="preserve">’de </w:t>
      </w:r>
      <w:r>
        <w:rPr>
          <w:b/>
          <w:i w:val="0"/>
        </w:rPr>
        <w:t>[TARİH]</w:t>
      </w:r>
      <w:r>
        <w:rPr>
          <w:b w:val="0"/>
          <w:i w:val="0"/>
        </w:rPr>
        <w:t xml:space="preserve"> tarihinde </w:t>
      </w:r>
      <w:r>
        <w:rPr>
          <w:b/>
          <w:i w:val="0"/>
        </w:rPr>
        <w:t>[NÜSHA SAYISI]</w:t>
      </w:r>
      <w:r>
        <w:rPr>
          <w:b w:val="0"/>
          <w:i w:val="0"/>
        </w:rPr>
        <w:t xml:space="preserve"> nüsha imzalanmıştır. Taksit toplamı ile borç tablosu birbiriyle uyumludur.</w:t>
      </w:r>
    </w:p>
    <w:p>
      <w:pPr>
        <w:keepLines/>
        <w:widowControl/>
        <w:spacing w:before="240"/>
        <w:jc w:val="right"/>
      </w:pPr>
      <w:r>
        <w:rPr>
          <w:b w:val="0"/>
          <w:i w:val="0"/>
        </w:rPr>
        <w:t xml:space="preserve">Alacaklı / yetkili temsilcisi: </w:t>
      </w:r>
      <w:r>
        <w:rPr>
          <w:b/>
          <w:i w:val="0"/>
        </w:rPr>
        <w:t>[AD SOYAD]</w:t>
      </w:r>
      <w:r>
        <w:rPr>
          <w:b w:val="0"/>
          <w:i w:val="0"/>
        </w:rPr>
        <w:t xml:space="preserve"> — İmza</w:t>
        <w:br/>
        <w:t xml:space="preserve">Borçlu / yetkili temsilcisi: </w:t>
      </w:r>
      <w:r>
        <w:rPr>
          <w:b/>
          <w:i w:val="0"/>
        </w:rPr>
        <w:t>[AD SOYAD]</w:t>
      </w:r>
      <w:r>
        <w:rPr>
          <w:b w:val="0"/>
          <w:i w:val="0"/>
        </w:rPr>
        <w:t xml:space="preserve"> — İmza</w:t>
        <w:br/>
        <w:t xml:space="preserve">Varsa yetkili vekiller: </w:t>
      </w:r>
      <w:r>
        <w:rPr>
          <w:b/>
          <w:i w:val="0"/>
        </w:rPr>
        <w:t>[AD SOYAD]</w:t>
      </w:r>
      <w:r>
        <w:rPr>
          <w:b w:val="0"/>
          <w:i w:val="0"/>
        </w:rPr>
        <w:t xml:space="preserve"> — İmza</w:t>
      </w:r>
    </w:p>
    <w:p>
      <w:pPr>
        <w:pStyle w:val="Heading1"/>
        <w:widowControl/>
      </w:pPr>
      <w:r>
        <w:rPr>
          <w:b/>
          <w:i w:val="0"/>
        </w:rPr>
        <w:t>EKLER</w:t>
      </w:r>
    </w:p>
    <w:p>
      <w:pPr>
        <w:widowControl/>
      </w:pPr>
      <w:r>
        <w:rPr>
          <w:b w:val="0"/>
          <w:i w:val="0"/>
        </w:rPr>
        <w:t>1. Mutabık kalınan dosya hesabı</w:t>
      </w:r>
    </w:p>
    <w:p>
      <w:pPr>
        <w:widowControl/>
      </w:pPr>
      <w:r>
        <w:rPr>
          <w:b w:val="0"/>
          <w:i w:val="0"/>
        </w:rPr>
        <w:t>2. Varsa önceki ödeme belgeleri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İcra Borcu Ödeme Protokolü</dc:title>
  <dc:subject>İcra ve İflas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