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[YETKİLİ YER]</w:t>
      </w:r>
      <w:r>
        <w:rPr>
          <w:b/>
          <w:i w:val="0"/>
        </w:rPr>
        <w:t xml:space="preserve"> NÖBETÇİ İDARE MAHKEMESİ BAŞKANLIĞINA</w:t>
      </w:r>
    </w:p>
    <w:p>
      <w:pPr>
        <w:widowControl/>
        <w:spacing w:after="80"/>
      </w:pPr>
      <w:r>
        <w:rPr>
          <w:b/>
        </w:rPr>
        <w:t xml:space="preserve">Davacı : </w:t>
      </w:r>
      <w:r>
        <w:t>[İŞVEREN/YABANCI, AD/UNVAN, KİMLİK/VERGİ NO, ADRES]</w:t>
      </w:r>
    </w:p>
    <w:p>
      <w:pPr>
        <w:widowControl/>
        <w:spacing w:after="80"/>
      </w:pPr>
      <w:r>
        <w:rPr>
          <w:b/>
        </w:rPr>
        <w:t xml:space="preserve">Varsa vekili : </w:t>
      </w:r>
      <w:r>
        <w:t>[AVUKAT ADI, ADRES/UETS]</w:t>
      </w:r>
    </w:p>
    <w:p>
      <w:pPr>
        <w:widowControl/>
        <w:spacing w:after="80"/>
      </w:pPr>
      <w:r>
        <w:rPr>
          <w:b/>
        </w:rPr>
        <w:t xml:space="preserve">Davalı : </w:t>
      </w:r>
      <w:r>
        <w:t>Çalışma ve Sosyal Güvenlik Bakanlığı — Ankara</w:t>
      </w:r>
    </w:p>
    <w:p>
      <w:pPr>
        <w:widowControl/>
        <w:spacing w:after="80"/>
      </w:pPr>
      <w:r>
        <w:rPr>
          <w:b/>
        </w:rPr>
        <w:t xml:space="preserve">Konu : </w:t>
      </w:r>
      <w:r>
        <w:t>[ÇALIŞMA İZNİ RET İŞLEMİ VE VARSA İTİRAZIN REDDİ]nin iptali</w:t>
      </w:r>
    </w:p>
    <w:p>
      <w:pPr>
        <w:widowControl/>
        <w:spacing w:after="80"/>
      </w:pPr>
      <w:r>
        <w:rPr>
          <w:b/>
        </w:rPr>
        <w:t xml:space="preserve">İşlemler / tebliğler : </w:t>
      </w:r>
      <w:r>
        <w:t>[İLK RET TARİH/SAYI/TEBLİĞ] — [İTİRAZ RET TARİH/SAYI/TEBLİĞ]</w:t>
      </w:r>
    </w:p>
    <w:p>
      <w:pPr>
        <w:pStyle w:val="Heading1"/>
        <w:widowControl/>
      </w:pPr>
      <w:r>
        <w:rPr>
          <w:b/>
          <w:i w:val="0"/>
        </w:rPr>
        <w:t>I. DAVACI SIFATI VE SÜREÇ</w:t>
      </w:r>
    </w:p>
    <w:p>
      <w:pPr>
        <w:widowControl/>
        <w:jc w:val="both"/>
      </w:pPr>
      <w:r>
        <w:rPr>
          <w:b w:val="0"/>
          <w:i w:val="0"/>
        </w:rPr>
        <w:t xml:space="preserve">1. Davacı </w:t>
      </w:r>
      <w:r>
        <w:rPr>
          <w:b/>
          <w:i w:val="0"/>
        </w:rPr>
        <w:t>[İŞVEREN/YABANCI]</w:t>
      </w:r>
      <w:r>
        <w:rPr>
          <w:b w:val="0"/>
          <w:i w:val="0"/>
        </w:rPr>
        <w:t xml:space="preserve"> sıfatıyla </w:t>
      </w:r>
      <w:r>
        <w:rPr>
          <w:b/>
          <w:i w:val="0"/>
        </w:rPr>
        <w:t>[ÇALIŞMA İZNİ BAŞVURUSU]</w:t>
      </w:r>
      <w:r>
        <w:rPr>
          <w:b w:val="0"/>
          <w:i w:val="0"/>
        </w:rPr>
        <w:t xml:space="preserve">ndan doğrudan etkilenmektedir. Başvuru </w:t>
      </w:r>
      <w:r>
        <w:rPr>
          <w:b/>
          <w:i w:val="0"/>
        </w:rPr>
        <w:t>[TARİH/NO]</w:t>
      </w:r>
      <w:r>
        <w:rPr>
          <w:b w:val="0"/>
          <w:i w:val="0"/>
        </w:rPr>
        <w:t xml:space="preserve">, ret kararı </w:t>
      </w:r>
      <w:r>
        <w:rPr>
          <w:b/>
          <w:i w:val="0"/>
        </w:rPr>
        <w:t>[TARİH/NO]</w:t>
      </w:r>
      <w:r>
        <w:rPr>
          <w:b w:val="0"/>
          <w:i w:val="0"/>
        </w:rPr>
        <w:t xml:space="preserve">, tebliğ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tir. 6735 m. 21 kapsamında yapılan itirazın tarihi ve sonucu </w:t>
      </w:r>
      <w:r>
        <w:rPr>
          <w:b/>
          <w:i w:val="0"/>
        </w:rPr>
        <w:t>[BİLGİLER]</w:t>
      </w:r>
      <w:r>
        <w:rPr>
          <w:b w:val="0"/>
          <w:i w:val="0"/>
        </w:rPr>
        <w:t xml:space="preserve">dir. Dava süresi, bu tarihler ve başvuruya uygulanabilir kurallarla </w:t>
      </w:r>
      <w:r>
        <w:rPr>
          <w:b/>
          <w:i w:val="0"/>
        </w:rPr>
        <w:t>[HESAP]</w:t>
      </w:r>
      <w:r>
        <w:rPr>
          <w:b w:val="0"/>
          <w:i w:val="0"/>
        </w:rPr>
        <w:t xml:space="preserve"> olarak gösterilmiştir.</w:t>
      </w:r>
    </w:p>
    <w:p>
      <w:pPr>
        <w:pStyle w:val="Heading1"/>
        <w:widowControl/>
      </w:pPr>
      <w:r>
        <w:rPr>
          <w:b/>
          <w:i w:val="0"/>
        </w:rPr>
        <w:t>II. MADDİ OLAY VE RET NEDENİ</w:t>
      </w:r>
    </w:p>
    <w:p>
      <w:pPr>
        <w:widowControl/>
        <w:jc w:val="both"/>
      </w:pPr>
      <w:r>
        <w:rPr>
          <w:b w:val="0"/>
          <w:i w:val="0"/>
        </w:rPr>
        <w:t xml:space="preserve">2. Yabancı </w:t>
      </w:r>
      <w:r>
        <w:rPr>
          <w:b/>
          <w:i w:val="0"/>
        </w:rPr>
        <w:t>[AD]</w:t>
      </w:r>
      <w:r>
        <w:rPr>
          <w:b w:val="0"/>
          <w:i w:val="0"/>
        </w:rPr>
        <w:t xml:space="preserve"> işyerinde </w:t>
      </w:r>
      <w:r>
        <w:rPr>
          <w:b/>
          <w:i w:val="0"/>
        </w:rPr>
        <w:t>[GÖREV]</w:t>
      </w:r>
      <w:r>
        <w:rPr>
          <w:b w:val="0"/>
          <w:i w:val="0"/>
        </w:rPr>
        <w:t xml:space="preserve"> için çalıştırılacaktır. İşin somut gereği </w:t>
      </w:r>
      <w:r>
        <w:rPr>
          <w:b/>
          <w:i w:val="0"/>
        </w:rPr>
        <w:t>[İHTİYAÇ]</w:t>
      </w:r>
      <w:r>
        <w:rPr>
          <w:b w:val="0"/>
          <w:i w:val="0"/>
        </w:rPr>
        <w:t xml:space="preserve">, çalışanın niteliği </w:t>
      </w:r>
      <w:r>
        <w:rPr>
          <w:b/>
          <w:i w:val="0"/>
        </w:rPr>
        <w:t>[BELGE]</w:t>
      </w:r>
      <w:r>
        <w:rPr>
          <w:b w:val="0"/>
          <w:i w:val="0"/>
        </w:rPr>
        <w:t xml:space="preserve">, ücret ve çalışma koşulları </w:t>
      </w:r>
      <w:r>
        <w:rPr>
          <w:b/>
          <w:i w:val="0"/>
        </w:rPr>
        <w:t>[SÖZLEŞME]</w:t>
      </w:r>
      <w:r>
        <w:rPr>
          <w:b w:val="0"/>
          <w:i w:val="0"/>
        </w:rPr>
        <w:t xml:space="preserve"> ile belirlenmiştir. Bakanlık </w:t>
      </w:r>
      <w:r>
        <w:rPr>
          <w:b/>
          <w:i w:val="0"/>
        </w:rPr>
        <w:t>[GEREKÇE/KRİTER]</w:t>
      </w:r>
      <w:r>
        <w:rPr>
          <w:b w:val="0"/>
          <w:i w:val="0"/>
        </w:rPr>
        <w:t xml:space="preserve"> nedeniyle başvuruyu reddetmiştir.</w:t>
      </w:r>
    </w:p>
    <w:p>
      <w:pPr>
        <w:widowControl/>
        <w:jc w:val="both"/>
      </w:pPr>
      <w:r>
        <w:rPr>
          <w:b w:val="0"/>
          <w:i w:val="0"/>
        </w:rPr>
        <w:t xml:space="preserve">3. Karar tarihindeki </w:t>
      </w:r>
      <w:r>
        <w:rPr>
          <w:b/>
          <w:i w:val="0"/>
        </w:rPr>
        <w:t>[SGK İSTİHDAM, MALİ VERİ, ÜCRET, YETERLİLİK VEYA ÖN İZİN]</w:t>
      </w:r>
      <w:r>
        <w:rPr>
          <w:b w:val="0"/>
          <w:i w:val="0"/>
        </w:rPr>
        <w:t xml:space="preserve"> bilgileri </w:t>
      </w:r>
      <w:r>
        <w:rPr>
          <w:b/>
          <w:i w:val="0"/>
        </w:rPr>
        <w:t>[BELGELİ DURUM]</w:t>
      </w:r>
      <w:r>
        <w:rPr>
          <w:b w:val="0"/>
          <w:i w:val="0"/>
        </w:rPr>
        <w:t xml:space="preserve">dur. Ret gerekçesindeki </w:t>
      </w:r>
      <w:r>
        <w:rPr>
          <w:b/>
          <w:i w:val="0"/>
        </w:rPr>
        <w:t>[KARŞILAŞTIRMA/HESAP/OLGU]</w:t>
      </w:r>
      <w:r>
        <w:rPr>
          <w:b w:val="0"/>
          <w:i w:val="0"/>
        </w:rPr>
        <w:t xml:space="preserve"> hatalıdır; doğru değerlendirme </w:t>
      </w:r>
      <w:r>
        <w:rPr>
          <w:b/>
          <w:i w:val="0"/>
        </w:rPr>
        <w:t>[HESAP VE HUKUKİ DAYANAK]</w:t>
      </w:r>
      <w:r>
        <w:rPr>
          <w:b w:val="0"/>
          <w:i w:val="0"/>
        </w:rPr>
        <w:t xml:space="preserve"> şeklindedir. İtiraz dilekçesindeki </w:t>
      </w:r>
      <w:r>
        <w:rPr>
          <w:b/>
          <w:i w:val="0"/>
        </w:rPr>
        <w:t>[BELGE/GEREKÇE]</w:t>
      </w:r>
      <w:r>
        <w:rPr>
          <w:b w:val="0"/>
          <w:i w:val="0"/>
        </w:rPr>
        <w:t>ye cevap verilmemişse bu husus somut olarak gösterilmiştir.</w:t>
      </w:r>
    </w:p>
    <w:p>
      <w:pPr>
        <w:pStyle w:val="Heading1"/>
        <w:widowControl/>
      </w:pPr>
      <w:r>
        <w:rPr>
          <w:b/>
          <w:i w:val="0"/>
        </w:rPr>
        <w:t>III. HUKUKA AYKIRILIK</w:t>
      </w:r>
    </w:p>
    <w:p>
      <w:pPr>
        <w:widowControl/>
        <w:jc w:val="both"/>
      </w:pPr>
      <w:r>
        <w:rPr>
          <w:b w:val="0"/>
          <w:i w:val="0"/>
        </w:rPr>
        <w:t xml:space="preserve">4. İşlem, 6735 sayılı Kanundaki </w:t>
      </w:r>
      <w:r>
        <w:rPr>
          <w:b/>
          <w:i w:val="0"/>
        </w:rPr>
        <w:t>[İLGİLİ RET HÜKMÜ]</w:t>
      </w:r>
      <w:r>
        <w:rPr>
          <w:b w:val="0"/>
          <w:i w:val="0"/>
        </w:rPr>
        <w:t xml:space="preserve"> ve uygulanabilir güncel değerlendirme kriteriyle </w:t>
      </w:r>
      <w:r>
        <w:rPr>
          <w:b/>
          <w:i w:val="0"/>
        </w:rPr>
        <w:t>[OLAY-HÜKÜM BAĞI]</w:t>
      </w:r>
      <w:r>
        <w:rPr>
          <w:b w:val="0"/>
          <w:i w:val="0"/>
        </w:rPr>
        <w:t xml:space="preserve"> bakımından bağdaşmamaktadır. Takdir yetkisinin kanuni amaç ve nesnel verilerle kullanılması gereği karşısında </w:t>
      </w:r>
      <w:r>
        <w:rPr>
          <w:b/>
          <w:i w:val="0"/>
        </w:rPr>
        <w:t>[BELİRLİ EKSİK İNCELEME/YANLIŞ NEDEN]</w:t>
      </w:r>
      <w:r>
        <w:rPr>
          <w:b w:val="0"/>
          <w:i w:val="0"/>
        </w:rPr>
        <w:t xml:space="preserve"> işlemin iptalini gerektirmektedir.</w:t>
      </w:r>
    </w:p>
    <w:p>
      <w:pPr>
        <w:pStyle w:val="Heading1"/>
        <w:widowControl/>
      </w:pPr>
      <w:r>
        <w:rPr>
          <w:b/>
          <w:i w:val="0"/>
        </w:rPr>
        <w:t>IV. YÜRÜTMENİN DURDURULMASI — VARSA</w:t>
      </w:r>
    </w:p>
    <w:p>
      <w:pPr>
        <w:widowControl/>
        <w:jc w:val="both"/>
      </w:pPr>
      <w:r>
        <w:rPr>
          <w:b w:val="0"/>
          <w:i w:val="0"/>
        </w:rPr>
        <w:t xml:space="preserve">5. Açık hukuka aykırılık </w:t>
      </w:r>
      <w:r>
        <w:rPr>
          <w:b/>
          <w:i w:val="0"/>
        </w:rPr>
        <w:t>[BELGE VE KURAL]</w:t>
      </w:r>
      <w:r>
        <w:rPr>
          <w:b w:val="0"/>
          <w:i w:val="0"/>
        </w:rPr>
        <w:t xml:space="preserve"> ile, telafisi güç zarar </w:t>
      </w:r>
      <w:r>
        <w:rPr>
          <w:b/>
          <w:i w:val="0"/>
        </w:rPr>
        <w:t>[YAKIN TARİHLİ İŞ/STATÜ KAYBI VE DELİL]</w:t>
      </w:r>
      <w:r>
        <w:rPr>
          <w:b w:val="0"/>
          <w:i w:val="0"/>
        </w:rPr>
        <w:t xml:space="preserve"> ile somutlaştırılmıştır. İYUK 27 koşullarının birlikte gerçekleşmesi nedeniyle yürütmenin durdurulması talep olunur. Yalnız ekonomik güçlük iddiasıyla yetinilmeyip neden sonradan telafi edilemeyeceği açıklanmıştır.</w:t>
      </w:r>
    </w:p>
    <w:p>
      <w:pPr>
        <w:pStyle w:val="Heading1"/>
        <w:widowControl/>
      </w:pPr>
      <w:r>
        <w:rPr>
          <w:b/>
          <w:i w:val="0"/>
        </w:rPr>
        <w:t>DELİLLER / HUKUKİ NEDENLER</w:t>
      </w:r>
    </w:p>
    <w:p>
      <w:pPr>
        <w:widowControl/>
        <w:jc w:val="both"/>
      </w:pPr>
      <w:r>
        <w:rPr>
          <w:b w:val="0"/>
          <w:i w:val="0"/>
        </w:rPr>
        <w:t>Başvuru, ret ve tebliğ, itiraz ve cevap, iş sözleşmesi, ilgili dönem SGK ve mali kayıtlar, diploma/ön izin, işlem dosyası; 6735 sayılı Kanun ve güncel değerlendirme düzenlemeleri, 2577 sayılı Kanun m. 2,3,7,27,32.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</w:r>
      <w:r>
        <w:rPr>
          <w:b/>
          <w:i w:val="0"/>
        </w:rPr>
        <w:t>[VARSA]</w:t>
      </w:r>
      <w:r>
        <w:rPr>
          <w:b w:val="0"/>
          <w:i w:val="0"/>
        </w:rPr>
        <w:t xml:space="preserve"> Yürütmenin durdurulmasına; </w:t>
      </w:r>
      <w:r>
        <w:rPr>
          <w:b/>
          <w:i w:val="0"/>
        </w:rPr>
        <w:t>[TARİH/SAYI]</w:t>
      </w:r>
      <w:r>
        <w:rPr>
          <w:b w:val="0"/>
          <w:i w:val="0"/>
        </w:rPr>
        <w:t xml:space="preserve"> çalışma izni ret işleminin ve dava konusu edilen </w:t>
      </w:r>
      <w:r>
        <w:rPr>
          <w:b/>
          <w:i w:val="0"/>
        </w:rPr>
        <w:t>[İTİRAZ RET İŞLEMİNİN]</w:t>
      </w:r>
      <w:r>
        <w:rPr>
          <w:b w:val="0"/>
          <w:i w:val="0"/>
        </w:rPr>
        <w:t xml:space="preserve"> iptaline; işlem dosyasının getirtilmesine; giderlerin ve vekille temsil varsa kanuni vekâlet ücretinin davalıya yükletilmesine karar verilmesini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Davacı / vekili — </w:t>
      </w:r>
      <w:r>
        <w:rPr>
          <w:b/>
          <w:i w:val="0"/>
        </w:rPr>
        <w:t>[AD /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İlk ret/itiraz ret kararları</w:t>
      </w:r>
    </w:p>
    <w:p>
      <w:pPr>
        <w:widowControl/>
      </w:pPr>
      <w:r>
        <w:rPr>
          <w:b w:val="0"/>
          <w:i w:val="0"/>
        </w:rPr>
        <w:t>2. Tebliğ ve e-İzin kayıtları</w:t>
      </w:r>
    </w:p>
    <w:p>
      <w:pPr>
        <w:widowControl/>
      </w:pPr>
      <w:r>
        <w:rPr>
          <w:b w:val="0"/>
          <w:i w:val="0"/>
        </w:rPr>
        <w:t>3. Başvuru/itiraz dilekçeleri</w:t>
      </w:r>
    </w:p>
    <w:p>
      <w:pPr>
        <w:widowControl/>
      </w:pPr>
      <w:r>
        <w:rPr>
          <w:b w:val="0"/>
          <w:i w:val="0"/>
        </w:rPr>
        <w:t>4. İlgili dönem mali/SGK kayıtları</w:t>
      </w:r>
    </w:p>
    <w:p>
      <w:pPr>
        <w:widowControl/>
      </w:pPr>
      <w:r>
        <w:rPr>
          <w:b w:val="0"/>
          <w:i w:val="0"/>
        </w:rPr>
        <w:t>5. İş sözleşmesi ve yeterlilik belgeleri</w:t>
      </w:r>
    </w:p>
    <w:p>
      <w:pPr>
        <w:widowControl/>
      </w:pPr>
      <w:r>
        <w:rPr>
          <w:b w:val="0"/>
          <w:i w:val="0"/>
        </w:rPr>
        <w:t>6. YD delilleri</w:t>
      </w:r>
    </w:p>
    <w:p>
      <w:pPr>
        <w:widowControl/>
      </w:pPr>
      <w:r>
        <w:rPr>
          <w:b w:val="0"/>
          <w:i w:val="0"/>
        </w:rPr>
        <w:t>7. Vekâletname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Çalışma İzni Reddinin İptali Dava Dilekçesi</dc:title>
  <dc:subject>Yabancılar ve Vatandaşlık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