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MAHKEMENİN TAM ADI]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Cevaba Cevap Dilekçesi</w:t>
      </w:r>
    </w:p>
    <w:p>
      <w:pPr>
        <w:widowControl/>
        <w:spacing w:after="6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60"/>
      </w:pPr>
      <w:r>
        <w:rPr>
          <w:b/>
        </w:rPr>
        <w:t xml:space="preserve">Davacı : </w:t>
      </w:r>
      <w:r>
        <w:t>[AD SOYAD/UNVAN, T.C. KİMLİK/VERGİ NO, ADRES]</w:t>
      </w:r>
    </w:p>
    <w:p>
      <w:pPr>
        <w:widowControl/>
        <w:spacing w:after="6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6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Davalının cevap dilekçesine karşı cevaba cevap</w:t>
      </w:r>
    </w:p>
    <w:p>
      <w:pPr>
        <w:widowControl/>
        <w:spacing w:after="60"/>
      </w:pPr>
      <w:r>
        <w:rPr>
          <w:b/>
        </w:rPr>
        <w:t xml:space="preserve">Cevap dilekçesi / tebliğ : </w:t>
      </w:r>
      <w:r>
        <w:t>[DİLEKÇE TARİHİ] / [TEBLİĞ TARİHİ]</w:t>
      </w:r>
    </w:p>
    <w:p>
      <w:pPr>
        <w:pStyle w:val="Heading1"/>
        <w:widowControl/>
      </w:pPr>
      <w:r>
        <w:rPr>
          <w:b/>
          <w:i w:val="0"/>
        </w:rPr>
        <w:t>I. USULE İLİŞKİN YANITLAR</w:t>
      </w:r>
    </w:p>
    <w:p>
      <w:pPr>
        <w:widowControl/>
        <w:jc w:val="both"/>
      </w:pPr>
      <w:r>
        <w:rPr>
          <w:b w:val="0"/>
          <w:i w:val="0"/>
        </w:rPr>
        <w:t xml:space="preserve">1. Davalının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cevap dilekçesi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edilmiştir. Yazılı yargılama usulünde süresinde cevaba cevaplarımızı sunuyoruz.</w:t>
      </w:r>
    </w:p>
    <w:p>
      <w:pPr>
        <w:widowControl/>
        <w:jc w:val="both"/>
      </w:pPr>
      <w:r>
        <w:rPr>
          <w:b w:val="0"/>
          <w:i w:val="0"/>
        </w:rPr>
        <w:t xml:space="preserve">2. Davalının </w:t>
      </w:r>
      <w:r>
        <w:rPr>
          <w:b/>
          <w:i w:val="0"/>
        </w:rPr>
        <w:t>[YETKİ, TAHKİM, DAVA ŞARTI VEYA DİĞER USUL SAVUNMASI]</w:t>
      </w:r>
      <w:r>
        <w:rPr>
          <w:b w:val="0"/>
          <w:i w:val="0"/>
        </w:rPr>
        <w:t xml:space="preserve"> iddiası </w:t>
      </w:r>
      <w:r>
        <w:rPr>
          <w:b/>
          <w:i w:val="0"/>
        </w:rPr>
        <w:t>[SOMUT NEDEN]</w:t>
      </w:r>
      <w:r>
        <w:rPr>
          <w:b w:val="0"/>
          <w:i w:val="0"/>
        </w:rPr>
        <w:t xml:space="preserve"> nedeniyle yerinde değildir. </w:t>
      </w:r>
      <w:r>
        <w:rPr>
          <w:b/>
          <w:i w:val="0"/>
        </w:rPr>
        <w:t>[YETKİYİ/DAVA ŞARTINI GÖSTEREN BELGE VE KANUNİ BAĞLANTI]</w:t>
      </w:r>
      <w:r>
        <w:rPr>
          <w:b w:val="0"/>
          <w:i w:val="0"/>
        </w:rPr>
        <w:t xml:space="preserve"> dikkate alınmalıdır.</w:t>
      </w:r>
    </w:p>
    <w:p>
      <w:pPr>
        <w:pStyle w:val="Heading1"/>
        <w:widowControl/>
      </w:pPr>
      <w:r>
        <w:rPr>
          <w:b/>
          <w:i w:val="0"/>
        </w:rPr>
        <w:t>II. ESASA İLİŞKİN KARŞILIKLAR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Cevap dilekçesindeki savunma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Karşı açıklama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bağlantısı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[PARAGRAF VE SAVUNMA]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[NEDEN KABUL EDİLMEDİĞİ; SOMUT OLAY]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[BELGE/TARİH]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[İKİNCİ SAVUNMA]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[YANIT]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[DELİL]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Davalının </w:t>
      </w:r>
      <w:r>
        <w:rPr>
          <w:b/>
          <w:i w:val="0"/>
        </w:rPr>
        <w:t>[İFA/İBRA/TAKAS/ZAMANAŞIMI VEYA DİĞER SAVUNMA]</w:t>
      </w:r>
      <w:r>
        <w:rPr>
          <w:b w:val="0"/>
          <w:i w:val="0"/>
        </w:rPr>
        <w:t xml:space="preserve"> iddiasına karşı </w:t>
      </w:r>
      <w:r>
        <w:rPr>
          <w:b/>
          <w:i w:val="0"/>
        </w:rPr>
        <w:t>[TARİH, TUTAR VE HUKUKİ SEBEP]</w:t>
      </w:r>
      <w:r>
        <w:rPr>
          <w:b w:val="0"/>
          <w:i w:val="0"/>
        </w:rPr>
        <w:t xml:space="preserve"> açıklamasını sunuyorum. </w:t>
      </w:r>
      <w:r>
        <w:rPr>
          <w:b/>
          <w:i w:val="0"/>
        </w:rPr>
        <w:t>[BELİRLİ BELGE]</w:t>
      </w:r>
      <w:r>
        <w:rPr>
          <w:b w:val="0"/>
          <w:i w:val="0"/>
        </w:rPr>
        <w:t xml:space="preserve">deki </w:t>
      </w:r>
      <w:r>
        <w:rPr>
          <w:b/>
          <w:i w:val="0"/>
        </w:rPr>
        <w:t>[KAYIT]</w:t>
      </w:r>
      <w:r>
        <w:rPr>
          <w:b w:val="0"/>
          <w:i w:val="0"/>
        </w:rPr>
        <w:t xml:space="preserve"> bu savunmanın </w:t>
      </w:r>
      <w:r>
        <w:rPr>
          <w:b/>
          <w:i w:val="0"/>
        </w:rPr>
        <w:t>[NEDEN]</w:t>
      </w:r>
      <w:r>
        <w:rPr>
          <w:b w:val="0"/>
          <w:i w:val="0"/>
        </w:rPr>
        <w:t xml:space="preserve"> yönünden davayı bertaraf etmediğini göstermektedir.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[VARSA BU AŞAMADA İLERİ SÜRÜLEN YENİ VAKIA VEYA TALEP DEĞİŞİKLİĞİ]</w:t>
      </w:r>
      <w:r>
        <w:rPr>
          <w:b w:val="0"/>
          <w:i w:val="0"/>
        </w:rPr>
        <w:t xml:space="preserve"> </w:t>
      </w:r>
      <w:r>
        <w:rPr>
          <w:b/>
          <w:i w:val="0"/>
        </w:rPr>
        <w:t>[AÇIK KAPSAM VE DAYANAK]</w:t>
      </w:r>
      <w:r>
        <w:rPr>
          <w:b w:val="0"/>
          <w:i w:val="0"/>
        </w:rPr>
        <w:t xml:space="preserve"> şeklindedir. Talep sonucu veya değer değişiyorsa </w:t>
      </w:r>
      <w:r>
        <w:rPr>
          <w:b/>
          <w:i w:val="0"/>
        </w:rPr>
        <w:t>[YENİ NET TALEP VE HARÇ BİLGİSİ]</w:t>
      </w:r>
      <w:r>
        <w:rPr>
          <w:b w:val="0"/>
          <w:i w:val="0"/>
        </w:rPr>
        <w:t xml:space="preserve"> ayrıca gösterilmiştir. Yeni delil </w:t>
      </w:r>
      <w:r>
        <w:rPr>
          <w:b/>
          <w:i w:val="0"/>
        </w:rPr>
        <w:t>[DELİL]</w:t>
      </w:r>
      <w:r>
        <w:rPr>
          <w:b w:val="0"/>
          <w:i w:val="0"/>
        </w:rPr>
        <w:t xml:space="preserve"> </w:t>
      </w:r>
      <w:r>
        <w:rPr>
          <w:b/>
          <w:i w:val="0"/>
        </w:rPr>
        <w:t>[VAKIA]</w:t>
      </w:r>
      <w:r>
        <w:rPr>
          <w:b w:val="0"/>
          <w:i w:val="0"/>
        </w:rPr>
        <w:t>yı ispat içindir.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m.136, 141 ve 194; dava konusuna ilişkin maddi hukuk hükümleri.</w:t>
      </w: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>1. Davalının açıklanan usul itirazı ve esasa ilişkin savunmalarının reddini,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2. Dava dilekçesindeki </w:t>
      </w:r>
      <w:r>
        <w:rPr>
          <w:b/>
          <w:i w:val="0"/>
        </w:rPr>
        <w:t>[VARSA BU DİLEKÇEYLE USULÜNE UYGUN DEĞİŞTİRİLEN]</w:t>
      </w:r>
      <w:r>
        <w:rPr>
          <w:b w:val="0"/>
          <w:i w:val="0"/>
        </w:rPr>
        <w:t xml:space="preserve"> talep sonucuna uygun olarak </w:t>
      </w:r>
      <w:r>
        <w:rPr>
          <w:b/>
          <w:i w:val="0"/>
        </w:rPr>
        <w:t>[BELİRLİ TALEP]</w:t>
      </w:r>
      <w:r>
        <w:rPr>
          <w:b w:val="0"/>
          <w:i w:val="0"/>
        </w:rPr>
        <w:t xml:space="preserve"> yönünde karar verilmesini ve yargılama giderlerinin karşı tarafa yükletilmesini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Davacı </w:t>
      </w:r>
      <w:r>
        <w:rPr>
          <w:b/>
          <w:i w:val="0"/>
        </w:rPr>
        <w:t>[AD/UNVAN]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Cevap dilekçesinin tebliğ belgesi</w:t>
      </w:r>
    </w:p>
    <w:p>
      <w:pPr>
        <w:keepNext/>
        <w:widowControl/>
      </w:pPr>
      <w:r>
        <w:rPr>
          <w:b w:val="0"/>
          <w:i w:val="0"/>
        </w:rPr>
        <w:t>2. Savunmaya karşı sunulan belgeler</w:t>
      </w:r>
    </w:p>
    <w:p>
      <w:pPr>
        <w:widowControl/>
      </w:pPr>
      <w:r>
        <w:rPr>
          <w:b w:val="0"/>
          <w:i w:val="0"/>
        </w:rPr>
        <w:t>3. Yeni delillerin vakıa eşleştirmesi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Cevaba Cevap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