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BÖLGE ADLİYE MAHKEMESİ İLGİLİ CEZA DAİRESİNE</w:t>
        <w:br/>
        <w:t>Gönderilmek Üzere</w:t>
        <w:br/>
      </w:r>
      <w:r>
        <w:rPr>
          <w:b/>
          <w:i w:val="0"/>
        </w:rPr>
        <w:t>[HÜKMÜ VEREN CEZA MAHKEMESİ]</w:t>
      </w:r>
      <w:r>
        <w:rPr>
          <w:b/>
          <w:i w:val="0"/>
        </w:rPr>
        <w:t>NE</w:t>
      </w:r>
    </w:p>
    <w:p>
      <w:pPr>
        <w:widowControl/>
        <w:jc w:val="center"/>
      </w:pPr>
      <w:r>
        <w:rPr>
          <w:b/>
          <w:i w:val="0"/>
        </w:rPr>
        <w:t>Ceza İstinaf Dilekçesi</w:t>
      </w:r>
    </w:p>
    <w:p>
      <w:pPr>
        <w:widowControl/>
        <w:spacing w:after="80"/>
      </w:pPr>
      <w:r>
        <w:rPr>
          <w:b/>
        </w:rPr>
        <w:t xml:space="preserve">İstinaf eden sanık : </w:t>
      </w:r>
      <w:r>
        <w:t>[AD SOYAD, T.C. KİMLİK NO]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Müdafi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Ceza hükmüne karşı istinaf başvurusu</w:t>
      </w:r>
    </w:p>
    <w:p>
      <w:pPr>
        <w:widowControl/>
        <w:spacing w:after="80"/>
      </w:pPr>
      <w:r>
        <w:rPr>
          <w:b/>
        </w:rPr>
        <w:t xml:space="preserve">Hüküm : </w:t>
      </w:r>
      <w:r>
        <w:t>[MAHKEME, ESAS/KARAR NO, TARİH]</w:t>
      </w:r>
    </w:p>
    <w:p>
      <w:pPr>
        <w:widowControl/>
        <w:spacing w:after="80"/>
      </w:pPr>
      <w:r>
        <w:rPr>
          <w:b/>
        </w:rPr>
        <w:t xml:space="preserve">Gerekçeli tebliğ : </w:t>
      </w:r>
      <w:r>
        <w:t>[GEREKÇELİ HÜKMÜN TEBLİĞ TARİHİ]</w:t>
      </w:r>
    </w:p>
    <w:p>
      <w:pPr>
        <w:widowControl/>
        <w:spacing w:after="80"/>
      </w:pPr>
      <w:r>
        <w:rPr>
          <w:b/>
        </w:rPr>
        <w:t xml:space="preserve">Suç / yaptırım : </w:t>
      </w:r>
      <w:r>
        <w:t>[SUÇ, UYGULANAN MADDELER, CEZA/GÜVENLİK TEDBİRİ]</w:t>
      </w:r>
    </w:p>
    <w:p>
      <w:pPr>
        <w:widowControl/>
        <w:spacing w:after="80"/>
      </w:pPr>
      <w:r>
        <w:rPr>
          <w:b/>
        </w:rPr>
        <w:t xml:space="preserve">Diğer taraflar : </w:t>
      </w:r>
      <w:r>
        <w:t>[KATILAN/MAĞDUR VE VARSA VEKİLİ]</w:t>
      </w:r>
    </w:p>
    <w:p>
      <w:pPr>
        <w:pStyle w:val="Heading1"/>
        <w:widowControl/>
      </w:pPr>
      <w:r>
        <w:rPr>
          <w:b/>
          <w:i w:val="0"/>
        </w:rPr>
        <w:t>I. BAŞVURUNUN KAPSAMI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[MAHKEME]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[SUÇ]</w:t>
      </w:r>
      <w:r>
        <w:rPr>
          <w:b w:val="0"/>
          <w:i w:val="0"/>
        </w:rPr>
        <w:t xml:space="preserve"> nedeniyle </w:t>
      </w:r>
      <w:r>
        <w:rPr>
          <w:b/>
          <w:i w:val="0"/>
        </w:rPr>
        <w:t>[HÜKMÜN SONUCU VE YAPTIRIM]</w:t>
      </w:r>
      <w:r>
        <w:rPr>
          <w:b w:val="0"/>
          <w:i w:val="0"/>
        </w:rPr>
        <w:t xml:space="preserve"> kararı verilmiştir. Gerekçeli hüküm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 olup </w:t>
      </w:r>
      <w:r>
        <w:rPr>
          <w:b/>
          <w:i w:val="0"/>
        </w:rPr>
        <w:t>[HÜKMÜN TAMAMI/BELİRLİ SUÇ VE BENTLER]</w:t>
      </w:r>
      <w:r>
        <w:rPr>
          <w:b w:val="0"/>
          <w:i w:val="0"/>
        </w:rPr>
        <w:t xml:space="preserve"> hakkında istinafa başvuruyorum. Karar CMK m.272 ve ilgili özel hükümler yönünden </w:t>
      </w:r>
      <w:r>
        <w:rPr>
          <w:b/>
          <w:i w:val="0"/>
        </w:rPr>
        <w:t>[KANUN YOLU AÇIKLIĞI]</w:t>
      </w:r>
      <w:r>
        <w:rPr>
          <w:b w:val="0"/>
          <w:i w:val="0"/>
        </w:rPr>
        <w:t xml:space="preserve"> niteliğindedir.</w:t>
      </w:r>
    </w:p>
    <w:p>
      <w:pPr>
        <w:pStyle w:val="Heading1"/>
        <w:widowControl/>
      </w:pPr>
      <w:r>
        <w:rPr>
          <w:b/>
          <w:i w:val="0"/>
        </w:rPr>
        <w:t>II. İSTİNAF NEDENLERİ</w:t>
      </w:r>
    </w:p>
    <w:p>
      <w:pPr>
        <w:widowControl/>
        <w:jc w:val="both"/>
      </w:pPr>
      <w:r>
        <w:rPr>
          <w:b w:val="0"/>
          <w:i w:val="0"/>
        </w:rPr>
        <w:t xml:space="preserve">2. Delil ve sübut: Hüküm </w:t>
      </w:r>
      <w:r>
        <w:rPr>
          <w:b/>
          <w:i w:val="0"/>
        </w:rPr>
        <w:t>[DELİL]</w:t>
      </w:r>
      <w:r>
        <w:rPr>
          <w:b w:val="0"/>
          <w:i w:val="0"/>
        </w:rPr>
        <w:t xml:space="preserve">e dayanmıştır; ancak bu delilin </w:t>
      </w:r>
      <w:r>
        <w:rPr>
          <w:b/>
          <w:i w:val="0"/>
        </w:rPr>
        <w:t>[AİDİYET, TUTARLILIK, HUKUKA UYGUNLUK VEYA İÇERİK]</w:t>
      </w:r>
      <w:r>
        <w:rPr>
          <w:b w:val="0"/>
          <w:i w:val="0"/>
        </w:rPr>
        <w:t xml:space="preserve"> yönünden sorunu </w:t>
      </w:r>
      <w:r>
        <w:rPr>
          <w:b/>
          <w:i w:val="0"/>
        </w:rPr>
        <w:t>[SOMUT İTİRAZ]</w:t>
      </w:r>
      <w:r>
        <w:rPr>
          <w:b w:val="0"/>
          <w:i w:val="0"/>
        </w:rPr>
        <w:t xml:space="preserve">dır. Dosyadaki </w:t>
      </w:r>
      <w:r>
        <w:rPr>
          <w:b/>
          <w:i w:val="0"/>
        </w:rPr>
        <w:t>[LEHE DELİL]</w:t>
      </w:r>
      <w:r>
        <w:rPr>
          <w:b w:val="0"/>
          <w:i w:val="0"/>
        </w:rPr>
        <w:t xml:space="preserve"> </w:t>
      </w:r>
      <w:r>
        <w:rPr>
          <w:b/>
          <w:i w:val="0"/>
        </w:rPr>
        <w:t>[VAKIA]</w:t>
      </w:r>
      <w:r>
        <w:rPr>
          <w:b w:val="0"/>
          <w:i w:val="0"/>
        </w:rPr>
        <w:t xml:space="preserve">yı göstermekte; </w:t>
      </w:r>
      <w:r>
        <w:rPr>
          <w:b/>
          <w:i w:val="0"/>
        </w:rPr>
        <w:t>[KARARIN PARAGRAFI]</w:t>
      </w:r>
      <w:r>
        <w:rPr>
          <w:b w:val="0"/>
          <w:i w:val="0"/>
        </w:rPr>
        <w:t>nda bu hususa yeterli yanıt verilmemektedir.</w:t>
      </w:r>
    </w:p>
    <w:p>
      <w:pPr>
        <w:widowControl/>
        <w:jc w:val="both"/>
      </w:pPr>
      <w:r>
        <w:rPr>
          <w:b w:val="0"/>
          <w:i w:val="0"/>
        </w:rPr>
        <w:t xml:space="preserve">3. Suçun unsurları ve nitelendirme: Kabul edilen olayda </w:t>
      </w:r>
      <w:r>
        <w:rPr>
          <w:b/>
          <w:i w:val="0"/>
        </w:rPr>
        <w:t>[MADDİ/MANEVİ UNSUR VEYA NİTELİKLİ HÂL]</w:t>
      </w:r>
      <w:r>
        <w:rPr>
          <w:b w:val="0"/>
          <w:i w:val="0"/>
        </w:rPr>
        <w:t xml:space="preserve"> </w:t>
      </w:r>
      <w:r>
        <w:rPr>
          <w:b/>
          <w:i w:val="0"/>
        </w:rPr>
        <w:t>[SOMUT NEDEN]</w:t>
      </w:r>
      <w:r>
        <w:rPr>
          <w:b w:val="0"/>
          <w:i w:val="0"/>
        </w:rPr>
        <w:t xml:space="preserve"> nedeniyle oluşmamıştır / yanlış uygulanmıştır. </w:t>
      </w:r>
      <w:r>
        <w:rPr>
          <w:b/>
          <w:i w:val="0"/>
        </w:rPr>
        <w:t>[İLGİLİ TCK VEYA ÖZEL KANUN MADDESİ]</w:t>
      </w:r>
      <w:r>
        <w:rPr>
          <w:b w:val="0"/>
          <w:i w:val="0"/>
        </w:rPr>
        <w:t xml:space="preserve"> bakımından doğru değerlendirme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4. Usul: </w:t>
      </w:r>
      <w:r>
        <w:rPr>
          <w:b/>
          <w:i w:val="0"/>
        </w:rPr>
        <w:t>[SAVUNMA DELİLİNİN TOPLANMAMASI, ESASLI SAVUNMANIN KARŞILANMAMASI, SON SÖZ, HUKUKA AYKIRI DELİL VEYA DİĞER SOMUT İHLAL]</w:t>
      </w:r>
      <w:r>
        <w:rPr>
          <w:b w:val="0"/>
          <w:i w:val="0"/>
        </w:rPr>
        <w:t xml:space="preserve"> </w:t>
      </w:r>
      <w:r>
        <w:rPr>
          <w:b/>
          <w:i w:val="0"/>
        </w:rPr>
        <w:t>[DURUŞMA TARİHİ/TUTANAK]</w:t>
      </w:r>
      <w:r>
        <w:rPr>
          <w:b w:val="0"/>
          <w:i w:val="0"/>
        </w:rPr>
        <w:t xml:space="preserve"> ile görülmektedir. Bu ihlal hükmün sonucunu </w:t>
      </w:r>
      <w:r>
        <w:rPr>
          <w:b/>
          <w:i w:val="0"/>
        </w:rPr>
        <w:t>[NASIL]</w:t>
      </w:r>
      <w:r>
        <w:rPr>
          <w:b w:val="0"/>
          <w:i w:val="0"/>
        </w:rPr>
        <w:t xml:space="preserve"> etkilemiştir.</w:t>
      </w:r>
    </w:p>
    <w:p>
      <w:pPr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[VARSA YAPTIRIMA İLİŞKİN İTİRAZ: TEMEL CEZA, ARTTIRIM/İNDİRİM, TEKERRÜR, HAK YOKSUNLUĞU VEYA DİĞER BENT]</w:t>
      </w:r>
      <w:r>
        <w:rPr>
          <w:b w:val="0"/>
          <w:i w:val="0"/>
        </w:rPr>
        <w:t xml:space="preserve"> bakımından </w:t>
      </w:r>
      <w:r>
        <w:rPr>
          <w:b/>
          <w:i w:val="0"/>
        </w:rPr>
        <w:t>[KANUNİ DAYANAK VE HESAP]</w:t>
      </w:r>
      <w:r>
        <w:rPr>
          <w:b w:val="0"/>
          <w:i w:val="0"/>
        </w:rPr>
        <w:t xml:space="preserve"> yanlıştır. </w:t>
      </w:r>
      <w:r>
        <w:rPr>
          <w:b/>
          <w:i w:val="0"/>
        </w:rPr>
        <w:t>[UYGULANMASI İSTENEN LEHE DÜZENLEME]</w:t>
      </w:r>
      <w:r>
        <w:rPr>
          <w:b w:val="0"/>
          <w:i w:val="0"/>
        </w:rPr>
        <w:t xml:space="preserve">nin koşulları </w:t>
      </w:r>
      <w:r>
        <w:rPr>
          <w:b/>
          <w:i w:val="0"/>
        </w:rPr>
        <w:t>[SOMUT OLGU]</w:t>
      </w:r>
      <w:r>
        <w:rPr>
          <w:b w:val="0"/>
          <w:i w:val="0"/>
        </w:rPr>
        <w:t xml:space="preserve"> nedeniyle değerlendirilmelidir.</w:t>
      </w:r>
    </w:p>
    <w:p>
      <w:pPr>
        <w:widowControl/>
        <w:jc w:val="both"/>
      </w:pPr>
      <w:r>
        <w:rPr>
          <w:b w:val="0"/>
          <w:i w:val="0"/>
        </w:rPr>
        <w:t xml:space="preserve">6. </w:t>
      </w:r>
      <w:r>
        <w:rPr>
          <w:b/>
          <w:i w:val="0"/>
        </w:rPr>
        <w:t>[TUTUKLUYSA: TUTUKLULUĞUN SÜRESİ, DELİLLERİN DURUMU, KAÇMA/DELİL KARARTMA VE ÖLÇÜLÜLÜK NEDENLERİ]</w:t>
      </w:r>
      <w:r>
        <w:rPr>
          <w:b w:val="0"/>
          <w:i w:val="0"/>
        </w:rPr>
        <w:t xml:space="preserve"> nedeniyle tahliye de talep edilmektedir. </w:t>
      </w:r>
      <w:r>
        <w:rPr>
          <w:b/>
          <w:i w:val="0"/>
        </w:rPr>
        <w:t>[VARSA DURUŞMALI İNCELEME VE DELİL TALEBİ]</w:t>
      </w:r>
      <w:r>
        <w:rPr>
          <w:b w:val="0"/>
          <w:i w:val="0"/>
        </w:rPr>
        <w:t xml:space="preserve">nin nedeni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m.260, 272-273, 280 ve ilgili usul hükümleri; isnada ve yaptırıma uygulanan maddi ceza hukuku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İstinaf başvurumun kabulü ile hükmün </w:t>
      </w:r>
      <w:r>
        <w:rPr>
          <w:b/>
          <w:i w:val="0"/>
        </w:rPr>
        <w:t>[KAPSAM]</w:t>
      </w:r>
      <w:r>
        <w:rPr>
          <w:b w:val="0"/>
          <w:i w:val="0"/>
        </w:rPr>
        <w:t xml:space="preserve"> yönünden kaldırılmasını ve </w:t>
      </w:r>
      <w:r>
        <w:rPr>
          <w:b/>
          <w:i w:val="0"/>
        </w:rPr>
        <w:t>[DOSYAYA UYGUN BERAAT / DÜŞME / CEZA VERİLMESİNE YER OLMADIĞI / HUKUKA UYGUN YENİ HÜKÜM]</w:t>
      </w:r>
      <w:r>
        <w:rPr>
          <w:b w:val="0"/>
          <w:i w:val="0"/>
        </w:rPr>
        <w:t xml:space="preserve"> kurulmasını,</w:t>
      </w:r>
    </w:p>
    <w:p>
      <w:pPr>
        <w:widowControl/>
        <w:jc w:val="both"/>
      </w:pPr>
      <w:r>
        <w:rPr>
          <w:b w:val="0"/>
          <w:i w:val="0"/>
        </w:rPr>
        <w:t xml:space="preserve">2. Gerekli görülürse duruşma açılarak </w:t>
      </w:r>
      <w:r>
        <w:rPr>
          <w:b/>
          <w:i w:val="0"/>
        </w:rPr>
        <w:t>[BELİRLİ DELİL VE İNCELEME]</w:t>
      </w:r>
      <w:r>
        <w:rPr>
          <w:b w:val="0"/>
          <w:i w:val="0"/>
        </w:rPr>
        <w:t>nin yapılmasını,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[TUTUKLUYSA]</w:t>
      </w:r>
      <w:r>
        <w:rPr>
          <w:b w:val="0"/>
          <w:i w:val="0"/>
        </w:rPr>
        <w:t xml:space="preserve"> tahliyeme, uygun görülmezse ölçülü adli kontrol uygulanmasına karar verilmesini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İstinaf Eden Sanık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Müdafii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Gerekçeli hüküm ve tebliğ belgesi</w:t>
      </w:r>
    </w:p>
    <w:p>
      <w:pPr>
        <w:widowControl/>
      </w:pPr>
      <w:r>
        <w:rPr>
          <w:b w:val="0"/>
          <w:i w:val="0"/>
        </w:rPr>
        <w:t>2. İlgili duruşma tutanakları ve delil referansları</w:t>
      </w:r>
    </w:p>
    <w:p>
      <w:pPr>
        <w:widowControl/>
      </w:pPr>
      <w:r>
        <w:rPr>
          <w:b w:val="0"/>
          <w:i w:val="0"/>
        </w:rPr>
        <w:t>3. Varsa tahliye dayanakları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İstinaf Dilekçesi</dc:title>
  <dc:subject>Ortak Usul Dilekçeleri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