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DİSTRİBÜTÖRLÜK SÖZLEŞMESİ</w:t>
      </w:r>
    </w:p>
    <w:p>
      <w:pPr>
        <w:widowControl/>
        <w:spacing w:after="80"/>
      </w:pPr>
      <w:r>
        <w:rPr>
          <w:b/>
        </w:rPr>
        <w:t xml:space="preserve">Üretici / tedarikçi : </w:t>
      </w:r>
      <w:r>
        <w:t>[UNVAN, ÜLKE, SİCİL/VERGİ NO, ADRES, TEMSİLCİ]</w:t>
      </w:r>
    </w:p>
    <w:p>
      <w:pPr>
        <w:widowControl/>
        <w:spacing w:after="80"/>
      </w:pPr>
      <w:r>
        <w:rPr>
          <w:b/>
        </w:rPr>
        <w:t xml:space="preserve">Distribütör : </w:t>
      </w:r>
      <w:r>
        <w:t>[UNVAN, ÜLKE, SİCİL/VERGİ NO, ADRES, TEMSİLCİ]</w:t>
      </w:r>
    </w:p>
    <w:p>
      <w:pPr>
        <w:widowControl/>
        <w:spacing w:after="80"/>
      </w:pPr>
      <w:r>
        <w:rPr>
          <w:b/>
        </w:rPr>
        <w:t xml:space="preserve">Süre : </w:t>
      </w:r>
      <w:r>
        <w:t>[BAŞLANGIÇ]–[BİTİŞ]</w:t>
      </w:r>
    </w:p>
    <w:p>
      <w:pPr>
        <w:pStyle w:val="Heading1"/>
        <w:widowControl/>
      </w:pPr>
      <w:r>
        <w:rPr>
          <w:b/>
          <w:i w:val="0"/>
        </w:rPr>
        <w:t>1. Dağıtım kapsamı</w:t>
      </w:r>
    </w:p>
    <w:p>
      <w:pPr>
        <w:widowControl/>
        <w:jc w:val="both"/>
      </w:pPr>
      <w:r>
        <w:rPr>
          <w:b w:val="0"/>
          <w:i w:val="0"/>
        </w:rPr>
        <w:t xml:space="preserve">Distribütör, Ek-1 ürünlerini </w:t>
      </w:r>
      <w:r>
        <w:rPr>
          <w:b/>
          <w:i w:val="0"/>
        </w:rPr>
        <w:t>[ÜLKE/BÖLGE]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[SATIŞ KANALLARI]</w:t>
      </w:r>
      <w:r>
        <w:rPr>
          <w:b w:val="0"/>
          <w:i w:val="0"/>
        </w:rPr>
        <w:t xml:space="preserve"> için kendi adına ve hesabına satın alıp dağıtır. Hak </w:t>
      </w:r>
      <w:r>
        <w:rPr>
          <w:b/>
          <w:i w:val="0"/>
        </w:rPr>
        <w:t>[MÜNHASIR/MÜNHASIR OLMAYAN]</w:t>
      </w:r>
      <w:r>
        <w:rPr>
          <w:b w:val="0"/>
          <w:i w:val="0"/>
        </w:rPr>
        <w:t xml:space="preserve"> olup üreticinin doğrudan satış yapabileceği istisnalar </w:t>
      </w:r>
      <w:r>
        <w:rPr>
          <w:b/>
          <w:i w:val="0"/>
        </w:rPr>
        <w:t>[İSTİSNALAR]</w:t>
      </w:r>
      <w:r>
        <w:rPr>
          <w:b w:val="0"/>
          <w:i w:val="0"/>
        </w:rPr>
        <w:t xml:space="preserve"> olarak belirlenmiştir. Tüm pasif satışları veya internet satışını yasaklayan belirsiz bir sınırlama bu sözleşmeden çıkarılamaz.</w:t>
      </w:r>
    </w:p>
    <w:p>
      <w:pPr>
        <w:pStyle w:val="Heading1"/>
        <w:widowControl/>
      </w:pPr>
      <w:r>
        <w:rPr>
          <w:b/>
          <w:i w:val="0"/>
        </w:rPr>
        <w:t>2. Sipariş ve asgari alım</w:t>
      </w:r>
    </w:p>
    <w:p>
      <w:pPr>
        <w:widowControl/>
        <w:jc w:val="both"/>
      </w:pPr>
      <w:r>
        <w:rPr>
          <w:b w:val="0"/>
          <w:i w:val="0"/>
        </w:rPr>
        <w:t xml:space="preserve">Distribütör </w:t>
      </w:r>
      <w:r>
        <w:rPr>
          <w:b/>
          <w:i w:val="0"/>
        </w:rPr>
        <w:t>[DÖNEM]</w:t>
      </w:r>
      <w:r>
        <w:rPr>
          <w:b w:val="0"/>
          <w:i w:val="0"/>
        </w:rPr>
        <w:t xml:space="preserve"> bazında bağlayıcı olmayan talep tahmini sunar. Bağlayıcı sipariş için yazılı teyit gerekir; kabul süresi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gündür. Asgari alım kararlaştırılmışsa ürün, dönem ve miktar Ek-2 içinde yazılıdır. Tedarikçinin teslim edemediği miktarlar hedef hesabından düşülür; hedef revizyonu gerekçeli yazılı görüşmeyle yapılır.</w:t>
      </w:r>
    </w:p>
    <w:p>
      <w:pPr>
        <w:pStyle w:val="Heading1"/>
        <w:widowControl/>
      </w:pPr>
      <w:r>
        <w:rPr>
          <w:b/>
          <w:i w:val="0"/>
        </w:rPr>
        <w:t>3. Fiyat, para birimi ve ödeme</w:t>
      </w:r>
    </w:p>
    <w:p>
      <w:pPr>
        <w:widowControl/>
        <w:jc w:val="both"/>
      </w:pPr>
      <w:r>
        <w:rPr>
          <w:b w:val="0"/>
          <w:i w:val="0"/>
        </w:rPr>
        <w:t xml:space="preserve">Birim fiyatlar </w:t>
      </w:r>
      <w:r>
        <w:rPr>
          <w:b/>
          <w:i w:val="0"/>
        </w:rPr>
        <w:t>[PARA BİRİMİ]</w:t>
      </w:r>
      <w:r>
        <w:rPr>
          <w:b w:val="0"/>
          <w:i w:val="0"/>
        </w:rPr>
        <w:t xml:space="preserve"> üzerinden Ek-2 listesinde belirlenir. Ödeme yöntemi </w:t>
      </w:r>
      <w:r>
        <w:rPr>
          <w:b/>
          <w:i w:val="0"/>
        </w:rPr>
        <w:t>[AKREDİTİF/HAVALE/VADELİ]</w:t>
      </w:r>
      <w:r>
        <w:rPr>
          <w:b w:val="0"/>
          <w:i w:val="0"/>
        </w:rPr>
        <w:t xml:space="preserve">, vade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, banka masrafı paylaşımı </w:t>
      </w:r>
      <w:r>
        <w:rPr>
          <w:b/>
          <w:i w:val="0"/>
        </w:rPr>
        <w:t>[USUL]</w:t>
      </w:r>
      <w:r>
        <w:rPr>
          <w:b w:val="0"/>
          <w:i w:val="0"/>
        </w:rPr>
        <w:t xml:space="preserve"> şeklindedir. Fiyat değişikliği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önce yazılı bildirilir ve teyitli siparişleri etkilemez. Distribütör yeniden satış fiyatını bağımsız belirler.</w:t>
      </w:r>
    </w:p>
    <w:p>
      <w:pPr>
        <w:pStyle w:val="Heading1"/>
        <w:widowControl/>
      </w:pPr>
      <w:r>
        <w:rPr>
          <w:b/>
          <w:i w:val="0"/>
        </w:rPr>
        <w:t>4. Teslim, risk ve dış ticaret</w:t>
      </w:r>
    </w:p>
    <w:p>
      <w:pPr>
        <w:widowControl/>
        <w:jc w:val="both"/>
      </w:pPr>
      <w:r>
        <w:rPr>
          <w:b w:val="0"/>
          <w:i w:val="0"/>
        </w:rPr>
        <w:t xml:space="preserve">Teslim </w:t>
      </w:r>
      <w:r>
        <w:rPr>
          <w:b/>
          <w:i w:val="0"/>
        </w:rPr>
        <w:t>[AÇIK YER VE SEÇİLMİŞ TESLİM KURALI/SÜRÜMÜ]</w:t>
      </w:r>
      <w:r>
        <w:rPr>
          <w:b w:val="0"/>
          <w:i w:val="0"/>
        </w:rPr>
        <w:t xml:space="preserve"> üzerinden yapılır. İthalatçı sıfatını </w:t>
      </w:r>
      <w:r>
        <w:rPr>
          <w:b/>
          <w:i w:val="0"/>
        </w:rPr>
        <w:t>[TARAF]</w:t>
      </w:r>
      <w:r>
        <w:rPr>
          <w:b w:val="0"/>
          <w:i w:val="0"/>
        </w:rPr>
        <w:t xml:space="preserve"> taşır; gümrük, izin, vergi ve ürün güvenliği yükümlülükleri Ek-3 sorumluluk çizelgesindedir. Risk ve mülkiyetin geçiş anları ayrı olarak </w:t>
      </w:r>
      <w:r>
        <w:rPr>
          <w:b/>
          <w:i w:val="0"/>
        </w:rPr>
        <w:t>[RİSK ANI]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[MÜLKİYET ANI]</w:t>
      </w:r>
      <w:r>
        <w:rPr>
          <w:b w:val="0"/>
          <w:i w:val="0"/>
        </w:rPr>
        <w:t xml:space="preserve"> şeklinde belirlenmiştir. Kullanılmayan teslim kuralı seçenekleri silinir.</w:t>
      </w:r>
    </w:p>
    <w:p>
      <w:pPr>
        <w:pStyle w:val="Heading1"/>
        <w:widowControl/>
      </w:pPr>
      <w:r>
        <w:rPr>
          <w:b/>
          <w:i w:val="0"/>
        </w:rPr>
        <w:t>5. Uygunluk ve izlenebilirlik</w:t>
      </w:r>
    </w:p>
    <w:p>
      <w:pPr>
        <w:widowControl/>
        <w:jc w:val="both"/>
      </w:pPr>
      <w:r>
        <w:rPr>
          <w:b w:val="0"/>
          <w:i w:val="0"/>
        </w:rPr>
        <w:t>Tedarikçi teknik dosya, uygunluk beyanı, etiket ve kullanım bilgilerini temin eder. Distribütör yerel piyasaya arz yükümlülüklerini, saklama koşullarını ve parti/seri kayıtlarını yerine getirir. Ayıp bildirimi ürün kodu, parti, teslim ve belirti bilgisiyle yapılır. Acil ürün güvenliği sorununda satış durdurma ve yetkili mercie bildirim yükümlülükleri bekletilmez.</w:t>
      </w:r>
    </w:p>
    <w:p>
      <w:pPr>
        <w:pStyle w:val="Heading1"/>
        <w:widowControl/>
      </w:pPr>
      <w:r>
        <w:rPr>
          <w:b/>
          <w:i w:val="0"/>
        </w:rPr>
        <w:t>6. Geri çağırma ve satış sonrası destek</w:t>
      </w:r>
    </w:p>
    <w:p>
      <w:pPr>
        <w:widowControl/>
        <w:jc w:val="both"/>
      </w:pPr>
      <w:r>
        <w:rPr>
          <w:b w:val="0"/>
          <w:i w:val="0"/>
        </w:rPr>
        <w:t xml:space="preserve">Geri çağırma kararında taraflar eldeki stok, satılmış ürün ve müşteri bildirimlerini </w:t>
      </w:r>
      <w:r>
        <w:rPr>
          <w:b/>
          <w:i w:val="0"/>
        </w:rPr>
        <w:t>[KOORDİNATÖR]</w:t>
      </w:r>
      <w:r>
        <w:rPr>
          <w:b w:val="0"/>
          <w:i w:val="0"/>
        </w:rPr>
        <w:t xml:space="preserve"> üzerinden eşgüdümle yürütür. Teknik hata, saklama hatası ve taşıma hasarından doğan iç ilişki gideri kusur ve sorumluluk alanına göre belgelerle dağıtılır. Üçüncü kişinin emredici tazminat hakları bu iç dağılımla sınırlanmaz.</w:t>
      </w:r>
    </w:p>
    <w:p>
      <w:pPr>
        <w:pStyle w:val="Heading1"/>
        <w:widowControl/>
      </w:pPr>
      <w:r>
        <w:rPr>
          <w:b/>
          <w:i w:val="0"/>
        </w:rPr>
        <w:t>7. Marka ve bilgi paylaşımı</w:t>
      </w:r>
    </w:p>
    <w:p>
      <w:pPr>
        <w:widowControl/>
        <w:jc w:val="both"/>
      </w:pPr>
      <w:r>
        <w:rPr>
          <w:b w:val="0"/>
          <w:i w:val="0"/>
        </w:rPr>
        <w:t xml:space="preserve">Marka lisansı yalnız bu ürünlerin dağıtımı ve tanıtımı için, sözleşme süresince verilir. Distribütör markayı kendi adına tescil ettiremez. </w:t>
      </w:r>
      <w:r>
        <w:rPr>
          <w:b/>
          <w:i w:val="0"/>
        </w:rPr>
        <w:t>[DÖNEM]</w:t>
      </w:r>
      <w:r>
        <w:rPr>
          <w:b w:val="0"/>
          <w:i w:val="0"/>
        </w:rPr>
        <w:t xml:space="preserve"> satış ve stok raporu sunulur; müşteri kişisel verilerinin paylaşımı ve ülkeler arası aktarımı için gerekli hukuki şartlar ayrıca sağlanır.</w:t>
      </w:r>
    </w:p>
    <w:p>
      <w:pPr>
        <w:pStyle w:val="Heading1"/>
        <w:widowControl/>
      </w:pPr>
      <w:r>
        <w:rPr>
          <w:b/>
          <w:i w:val="0"/>
        </w:rPr>
        <w:t>8. Kesinti ve mücbir sebep</w:t>
      </w:r>
    </w:p>
    <w:p>
      <w:pPr>
        <w:widowControl/>
        <w:jc w:val="both"/>
      </w:pPr>
      <w:r>
        <w:rPr>
          <w:b w:val="0"/>
          <w:i w:val="0"/>
        </w:rPr>
        <w:t xml:space="preserve">Kontrol dışı olayın ifaya etkisi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belgeyle bildirilir; zararı azaltma ve alternatif tedarik seçenekleri görüşülür. İfa engeli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sürerse etkilenen sipariş için sona erdirme ve kullanılmamış avansın iadesi müzakere edilen takvime göre yapılır. Sırf maliyet artışı otomatik ve sınırsız fiyat değişikliği yetkisi vermez.</w:t>
      </w:r>
    </w:p>
    <w:p>
      <w:pPr>
        <w:pStyle w:val="Heading1"/>
        <w:widowControl/>
      </w:pPr>
      <w:r>
        <w:rPr>
          <w:b/>
          <w:i w:val="0"/>
        </w:rPr>
        <w:t>9. Fesih ve geçiş</w:t>
      </w:r>
    </w:p>
    <w:p>
      <w:pPr>
        <w:widowControl/>
        <w:jc w:val="both"/>
      </w:pPr>
      <w:r>
        <w:rPr>
          <w:b w:val="0"/>
          <w:i w:val="0"/>
        </w:rPr>
        <w:t xml:space="preserve">Giderilebilir esaslı ihlal için yazılı bildirimden itibaren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süre verilir. Sona ermede açık siparişler, satılabilir stok, garanti dosyaları ve marka materyalleri envantere alınır. Stok geri alım koşulları </w:t>
      </w:r>
      <w:r>
        <w:rPr>
          <w:b/>
          <w:i w:val="0"/>
        </w:rPr>
        <w:t>[DEĞERLEME/SÜRE]</w:t>
      </w:r>
      <w:r>
        <w:rPr>
          <w:b w:val="0"/>
          <w:i w:val="0"/>
        </w:rPr>
        <w:t xml:space="preserve"> olarak uygulanır. Kanunen doğabilecek denkleştirme haklarından önceden vazgeçildiği kabul edilmez.</w:t>
      </w:r>
    </w:p>
    <w:p>
      <w:pPr>
        <w:pStyle w:val="Heading1"/>
        <w:widowControl/>
      </w:pPr>
      <w:r>
        <w:rPr>
          <w:b/>
          <w:i w:val="0"/>
        </w:rPr>
        <w:t>10. Uygulanacak hukuk</w:t>
      </w:r>
    </w:p>
    <w:p>
      <w:pPr>
        <w:widowControl/>
        <w:jc w:val="both"/>
      </w:pPr>
      <w:r>
        <w:rPr>
          <w:b w:val="0"/>
          <w:i w:val="0"/>
        </w:rPr>
        <w:t xml:space="preserve">Uygulanacak hukuk </w:t>
      </w:r>
      <w:r>
        <w:rPr>
          <w:b/>
          <w:i w:val="0"/>
        </w:rPr>
        <w:t>[HUKUK]</w:t>
      </w:r>
      <w:r>
        <w:rPr>
          <w:b w:val="0"/>
          <w:i w:val="0"/>
        </w:rPr>
        <w:t xml:space="preserve"> olarak seçilmiştir. Uluslararası mal satımında uygulanabilecek milletlerarası sözleşmelerin durumu ayrıca belirlenir. Uyuşmazlık mercii </w:t>
      </w:r>
      <w:r>
        <w:rPr>
          <w:b/>
          <w:i w:val="0"/>
        </w:rPr>
        <w:t>[KANUNEN GEÇERLİ MAHKEME VEYA AYRI YAZILI TAHKİM ŞARTI]</w:t>
      </w:r>
      <w:r>
        <w:rPr>
          <w:b w:val="0"/>
          <w:i w:val="0"/>
        </w:rPr>
        <w:t xml:space="preserve"> olarak somutlaştırılır; birbirine aykırı seçenekler bırakılmaz. Ekler ve değişiklikler tarafların yetkili temsilcilerince imzalanır.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Üretici / tedarikçi — </w:t>
      </w:r>
      <w:r>
        <w:rPr>
          <w:b/>
          <w:i w:val="0"/>
        </w:rPr>
        <w:t>[YETKİLİ, İMZA]</w:t>
      </w:r>
      <w:r>
        <w:rPr>
          <w:b w:val="0"/>
          <w:i w:val="0"/>
        </w:rPr>
        <w:br/>
        <w:t xml:space="preserve">Distribütör — </w:t>
      </w:r>
      <w:r>
        <w:rPr>
          <w:b/>
          <w:i w:val="0"/>
        </w:rPr>
        <w:t>[YETKİLİ,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Ek-1: Ürün ve kanal kapsamı</w:t>
      </w:r>
    </w:p>
    <w:p>
      <w:pPr>
        <w:widowControl/>
      </w:pPr>
      <w:r>
        <w:rPr>
          <w:b w:val="0"/>
          <w:i w:val="0"/>
        </w:rPr>
        <w:t>2. Ek-2: Fiyat, sipariş ve asgari alım planı</w:t>
      </w:r>
    </w:p>
    <w:p>
      <w:pPr>
        <w:widowControl/>
      </w:pPr>
      <w:r>
        <w:rPr>
          <w:b w:val="0"/>
          <w:i w:val="0"/>
        </w:rPr>
        <w:t>3. Ek-3: İthalat ve ürün uygunluğu sorumlulukları</w:t>
      </w:r>
    </w:p>
    <w:p>
      <w:pPr>
        <w:widowControl/>
      </w:pPr>
      <w:r>
        <w:rPr>
          <w:b w:val="0"/>
          <w:i w:val="0"/>
        </w:rPr>
        <w:t>4. Teknik/garanti belgeleri</w:t>
      </w:r>
    </w:p>
    <w:p>
      <w:pPr>
        <w:widowControl/>
      </w:pPr>
      <w:r>
        <w:rPr>
          <w:b w:val="0"/>
          <w:i w:val="0"/>
        </w:rPr>
        <w:t>5. İmza ve temsil yetkileri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Distribütörlük Sözleşmesi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