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BAĞIMSIZ HİZMET SUNUMU SÖZLEŞMESİ</w:t>
      </w:r>
    </w:p>
    <w:p>
      <w:pPr>
        <w:widowControl/>
        <w:spacing w:after="80"/>
      </w:pPr>
      <w:r>
        <w:rPr>
          <w:b/>
        </w:rPr>
        <w:t xml:space="preserve">Hizmet alan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Bağımsız hizmet sağlayıcı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pStyle w:val="Heading1"/>
        <w:widowControl/>
      </w:pPr>
      <w:r>
        <w:rPr>
          <w:b/>
          <w:i w:val="0"/>
        </w:rPr>
        <w:t>1. İşin kapsamı ve sınırları</w:t>
      </w:r>
    </w:p>
    <w:p>
      <w:pPr>
        <w:widowControl/>
        <w:jc w:val="both"/>
      </w:pPr>
      <w:r>
        <w:rPr>
          <w:b w:val="0"/>
          <w:i w:val="0"/>
        </w:rPr>
        <w:t xml:space="preserve">Sağlayıcı, </w:t>
      </w:r>
      <w:r>
        <w:rPr>
          <w:b/>
          <w:i w:val="0"/>
        </w:rPr>
        <w:t>[HİZMETİN SOMUT TANIMI]</w:t>
      </w:r>
      <w:r>
        <w:rPr>
          <w:b w:val="0"/>
          <w:i w:val="0"/>
        </w:rPr>
        <w:t xml:space="preserve"> hizmetini ekli iş kapsamına uygun olarak sunacaktır. İşin yürütüleceği yer/sistem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, yararlanıcı birim </w:t>
      </w:r>
      <w:r>
        <w:rPr>
          <w:b/>
          <w:i w:val="0"/>
        </w:rPr>
        <w:t>[BİRİM]</w:t>
      </w:r>
      <w:r>
        <w:rPr>
          <w:b w:val="0"/>
          <w:i w:val="0"/>
        </w:rPr>
        <w:t xml:space="preserve"> ve kapsam dışında kalan işler </w:t>
      </w:r>
      <w:r>
        <w:rPr>
          <w:b/>
          <w:i w:val="0"/>
        </w:rPr>
        <w:t>[LİSTE]</w:t>
      </w:r>
      <w:r>
        <w:rPr>
          <w:b w:val="0"/>
          <w:i w:val="0"/>
        </w:rPr>
        <w:t>dir. Tarafların fiili ilişkisi bağımlı çalışma oluşturuyorsa emredici iş hukuku hükümleri yalnız bu başlık nedeniyle bertaraf edilmiş sayılmaz.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İş / hizmet kalemi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Miktar veya sıklık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Sunum / rapor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Sorumlu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[SAAT / ADET / PERİYOT]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/ TUTANAK]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[SIKLIK]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[ÇIKTI]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Süre ve çalışma düzeni</w:t>
      </w:r>
    </w:p>
    <w:p>
      <w:pPr>
        <w:widowControl/>
        <w:jc w:val="both"/>
      </w:pPr>
      <w:r>
        <w:rPr>
          <w:b w:val="0"/>
          <w:i w:val="0"/>
        </w:rPr>
        <w:t xml:space="preserve">Hizmet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başlar ve </w:t>
      </w:r>
      <w:r>
        <w:rPr>
          <w:b/>
          <w:i w:val="0"/>
        </w:rPr>
        <w:t>[TARİH / SÜRE]</w:t>
      </w:r>
      <w:r>
        <w:rPr>
          <w:b w:val="0"/>
          <w:i w:val="0"/>
        </w:rPr>
        <w:t xml:space="preserve"> devam eder. Sağlayıcı işin organizasyonunu kendi mesleki bilgisiyle yapar; tarafların koordinasyon toplantısı </w:t>
      </w:r>
      <w:r>
        <w:rPr>
          <w:b/>
          <w:i w:val="0"/>
        </w:rPr>
        <w:t>[SIKLIK]</w:t>
      </w:r>
      <w:r>
        <w:rPr>
          <w:b w:val="0"/>
          <w:i w:val="0"/>
        </w:rPr>
        <w:t xml:space="preserve">tır. Hizmet alanın sağlayacağı erişim, bilgi ve malzeme </w:t>
      </w:r>
      <w:r>
        <w:rPr>
          <w:b/>
          <w:i w:val="0"/>
        </w:rPr>
        <w:t>[LİSTE]</w:t>
      </w:r>
      <w:r>
        <w:rPr>
          <w:b w:val="0"/>
          <w:i w:val="0"/>
        </w:rPr>
        <w:t xml:space="preserve"> olarak belirlenmiştir. Gecikmeye yol açan eksiklikler yazılı bildirilir ve takvime etkisi kayıt altına alınır.</w:t>
      </w:r>
    </w:p>
    <w:p>
      <w:pPr>
        <w:pStyle w:val="Heading1"/>
        <w:widowControl/>
      </w:pPr>
      <w:r>
        <w:rPr>
          <w:b/>
          <w:i w:val="0"/>
        </w:rPr>
        <w:t>3. Bedel, fatura ve gider</w:t>
      </w:r>
    </w:p>
    <w:p>
      <w:pPr>
        <w:widowControl/>
        <w:jc w:val="both"/>
      </w:pPr>
      <w:r>
        <w:rPr>
          <w:b w:val="0"/>
          <w:i w:val="0"/>
        </w:rPr>
        <w:t xml:space="preserve">Bedel </w:t>
      </w:r>
      <w:r>
        <w:rPr>
          <w:b/>
          <w:i w:val="0"/>
        </w:rPr>
        <w:t>[TUTAR VE PARA BİRİMİ]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[KDV DÂHİL / HARİÇ]</w:t>
      </w:r>
      <w:r>
        <w:rPr>
          <w:b w:val="0"/>
          <w:i w:val="0"/>
        </w:rPr>
        <w:t xml:space="preserve">tir. Fatura/ödeme dönemi </w:t>
      </w:r>
      <w:r>
        <w:rPr>
          <w:b/>
          <w:i w:val="0"/>
        </w:rPr>
        <w:t>[DÖNEM]</w:t>
      </w:r>
      <w:r>
        <w:rPr>
          <w:b w:val="0"/>
          <w:i w:val="0"/>
        </w:rPr>
        <w:t xml:space="preserve">, vade </w:t>
      </w:r>
      <w:r>
        <w:rPr>
          <w:b/>
          <w:i w:val="0"/>
        </w:rPr>
        <w:t>[TARİH / GÜN]</w:t>
      </w:r>
      <w:r>
        <w:rPr>
          <w:b w:val="0"/>
          <w:i w:val="0"/>
        </w:rPr>
        <w:t xml:space="preserve"> ve hesap </w:t>
      </w:r>
      <w:r>
        <w:rPr>
          <w:b/>
          <w:i w:val="0"/>
        </w:rPr>
        <w:t>[IBAN]</w:t>
      </w:r>
      <w:r>
        <w:rPr>
          <w:b w:val="0"/>
          <w:i w:val="0"/>
        </w:rPr>
        <w:t xml:space="preserve">dır. Bedel kapsamındaki giderler </w:t>
      </w:r>
      <w:r>
        <w:rPr>
          <w:b/>
          <w:i w:val="0"/>
        </w:rPr>
        <w:t>[LİSTE]</w:t>
      </w:r>
      <w:r>
        <w:rPr>
          <w:b w:val="0"/>
          <w:i w:val="0"/>
        </w:rPr>
        <w:t>dir. Ek gider ancak önceden yazılı onaylanan tutar/sınır içinde ve belge karşılığında ödenir.</w:t>
      </w:r>
    </w:p>
    <w:p>
      <w:pPr>
        <w:pStyle w:val="Heading1"/>
        <w:widowControl/>
      </w:pPr>
      <w:r>
        <w:rPr>
          <w:b/>
          <w:i w:val="0"/>
        </w:rPr>
        <w:t>4. Kalite, kayıt ve eksik hizmet</w:t>
      </w:r>
    </w:p>
    <w:p>
      <w:pPr>
        <w:widowControl/>
        <w:jc w:val="both"/>
      </w:pPr>
      <w:r>
        <w:rPr>
          <w:b w:val="0"/>
          <w:i w:val="0"/>
        </w:rPr>
        <w:t xml:space="preserve">Hizmetin ölçülebilir gerekleri </w:t>
      </w:r>
      <w:r>
        <w:rPr>
          <w:b/>
          <w:i w:val="0"/>
        </w:rPr>
        <w:t>[YANIT SÜRESİ / İŞLEM STANDARDI / KONTROL LİSTESİ]</w:t>
      </w:r>
      <w:r>
        <w:rPr>
          <w:b w:val="0"/>
          <w:i w:val="0"/>
        </w:rPr>
        <w:t xml:space="preserve">dir. Sunulan hizmet </w:t>
      </w:r>
      <w:r>
        <w:rPr>
          <w:b/>
          <w:i w:val="0"/>
        </w:rPr>
        <w:t>[PERİYODİK RAPOR / TUTANAK]</w:t>
      </w:r>
      <w:r>
        <w:rPr>
          <w:b w:val="0"/>
          <w:i w:val="0"/>
        </w:rPr>
        <w:t xml:space="preserve"> ile kayıt altına alınır. Eksik veya sözleşmeye aykırı hizmetin somut açıklamayla bildirilmesi üzerine sağlayıcı, kendi sorumluluğundaki eksikliği </w:t>
      </w:r>
      <w:r>
        <w:rPr>
          <w:b/>
          <w:i w:val="0"/>
        </w:rPr>
        <w:t>[UYGUN SÜRE]</w:t>
      </w:r>
      <w:r>
        <w:rPr>
          <w:b w:val="0"/>
          <w:i w:val="0"/>
        </w:rPr>
        <w:t xml:space="preserve"> içinde giderir; kanundan doğan diğer haklar saklıdır.</w:t>
      </w:r>
    </w:p>
    <w:p>
      <w:pPr>
        <w:pStyle w:val="Heading1"/>
        <w:widowControl/>
      </w:pPr>
      <w:r>
        <w:rPr>
          <w:b/>
          <w:i w:val="0"/>
        </w:rPr>
        <w:t>5. Kapsam değişikliği ve yardımcı kişiler</w:t>
      </w:r>
    </w:p>
    <w:p>
      <w:pPr>
        <w:widowControl/>
        <w:jc w:val="both"/>
      </w:pPr>
      <w:r>
        <w:rPr>
          <w:b w:val="0"/>
          <w:i w:val="0"/>
        </w:rPr>
        <w:t xml:space="preserve">Yeni iş veya kapsam artışı için işin tanımı, ek bedel ve takvim taraflarca yazılı belirlenir. Sağlayıcının yardımcı kişi kullanımı </w:t>
      </w:r>
      <w:r>
        <w:rPr>
          <w:b/>
          <w:i w:val="0"/>
        </w:rPr>
        <w:t>[ŞARTLAR]</w:t>
      </w:r>
      <w:r>
        <w:rPr>
          <w:b w:val="0"/>
          <w:i w:val="0"/>
        </w:rPr>
        <w:t>a tabidir; yardımcı kullanılması kendi sözleşmesel sorumluluğunu ortadan kaldırmaz. Hizmet alan adına üçüncü kişileri bağlayan işlem yapma yetkisi, ayrıca verilmedikçe yoktur.</w:t>
      </w:r>
    </w:p>
    <w:p>
      <w:pPr>
        <w:pStyle w:val="Heading1"/>
        <w:widowControl/>
      </w:pPr>
      <w:r>
        <w:rPr>
          <w:b/>
          <w:i w:val="0"/>
        </w:rPr>
        <w:t>6. Bilgi ve teslimler</w:t>
      </w:r>
    </w:p>
    <w:p>
      <w:pPr>
        <w:widowControl/>
        <w:jc w:val="both"/>
      </w:pPr>
      <w:r>
        <w:rPr>
          <w:b w:val="0"/>
          <w:i w:val="0"/>
        </w:rPr>
        <w:t xml:space="preserve">Taraflar hizmet için kendilerine verilen ve kamuya açık olmayan bilgileri yalnız sözleşmenin ifasında kullanır. İş sonunda sağlanan belgeler, hesap kayıtları ve hizmet alanın malzemeleri </w:t>
      </w:r>
      <w:r>
        <w:rPr>
          <w:b/>
          <w:i w:val="0"/>
        </w:rPr>
        <w:t>[LİSTE / FORMAT]</w:t>
      </w:r>
      <w:r>
        <w:rPr>
          <w:b w:val="0"/>
          <w:i w:val="0"/>
        </w:rPr>
        <w:t xml:space="preserve"> ile iade veya teslim edilir. Üçüncü kişiye ait lisans ve kullanım sınırları </w:t>
      </w:r>
      <w:r>
        <w:rPr>
          <w:b/>
          <w:i w:val="0"/>
        </w:rPr>
        <w:t>[VARSA AYRINTI]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7. Sona erme ve hesaplaşma</w:t>
      </w:r>
    </w:p>
    <w:p>
      <w:pPr>
        <w:widowControl/>
        <w:jc w:val="both"/>
      </w:pPr>
      <w:r>
        <w:rPr>
          <w:b w:val="0"/>
          <w:i w:val="0"/>
        </w:rPr>
        <w:t xml:space="preserve">Sözleşme süresinin sonunda sona erer; yenileme yazılı kararlaştırılır. Esaslı ihlalde karşı tarafa </w:t>
      </w:r>
      <w:r>
        <w:rPr>
          <w:b/>
          <w:i w:val="0"/>
        </w:rPr>
        <w:t>[SÜRE]</w:t>
      </w:r>
      <w:r>
        <w:rPr>
          <w:b w:val="0"/>
          <w:i w:val="0"/>
        </w:rPr>
        <w:t xml:space="preserve"> içinde giderim olanağı tanınır; kanunen süre gerekmeyen ve özel fesih hakkı bulunan hâller saklıdır. Sona ermede gerçekten sunulan hizmet ve onaylı giderler hesaplanır, kullanılmayan avans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içinde iade edilir. İlişki vekâlet niteliğindeyse TBK m. 512 hükümleri saklıdır.</w:t>
      </w:r>
    </w:p>
    <w:p>
      <w:pPr>
        <w:pStyle w:val="Heading1"/>
        <w:widowControl/>
      </w:pPr>
      <w:r>
        <w:rPr>
          <w:b/>
          <w:i w:val="0"/>
        </w:rPr>
        <w:t>8. Bildirim ve ekler</w:t>
      </w:r>
    </w:p>
    <w:p>
      <w:pPr>
        <w:widowControl/>
        <w:jc w:val="both"/>
      </w:pPr>
      <w:r>
        <w:rPr>
          <w:b w:val="0"/>
          <w:i w:val="0"/>
        </w:rPr>
        <w:t xml:space="preserve">İş koordinasyonu için </w:t>
      </w:r>
      <w:r>
        <w:rPr>
          <w:b/>
          <w:i w:val="0"/>
        </w:rPr>
        <w:t>[E-POSTA / KEP]</w:t>
      </w:r>
      <w:r>
        <w:rPr>
          <w:b w:val="0"/>
          <w:i w:val="0"/>
        </w:rPr>
        <w:t xml:space="preserve"> kullanılacaktır; özel şekle tabi bildirimler ilgili usulle yapılır. İş kapsamı, fiyat listesi ve hizmet çizelgesi sözleşmenin ekidir.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imzalanmıştır.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Hizmet alan</w:t>
        <w:br/>
      </w:r>
      <w:r>
        <w:rPr>
          <w:b/>
          <w:i w:val="0"/>
        </w:rPr>
        <w:t>[AD SOYAD / YETKİLİ, İMZA]</w:t>
      </w:r>
      <w:r>
        <w:rPr>
          <w:b w:val="0"/>
          <w:i w:val="0"/>
        </w:rPr>
        <w:br/>
        <w:t>Hizmet sağlayıcı</w:t>
        <w:br/>
      </w:r>
      <w:r>
        <w:rPr>
          <w:b/>
          <w:i w:val="0"/>
        </w:rPr>
        <w:t>[AD SOYAD / YETKİLİ,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İş kapsamı ve hizmet çizelgesi</w:t>
      </w:r>
    </w:p>
    <w:p>
      <w:pPr>
        <w:widowControl/>
      </w:pPr>
      <w:r>
        <w:rPr>
          <w:b w:val="0"/>
          <w:i w:val="0"/>
        </w:rPr>
        <w:t>2. Fiyat/ödeme cetveli</w:t>
      </w:r>
    </w:p>
    <w:p>
      <w:pPr>
        <w:widowControl/>
      </w:pPr>
      <w:r>
        <w:rPr>
          <w:b w:val="0"/>
          <w:i w:val="0"/>
        </w:rPr>
        <w:t>3. Malzeme ve erişim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Hizmet Sözleşmesi Genel Taslağı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