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SULH CEZA HÂKİMLİĞİNE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SOYAD, UYRUK, DOĞUM TARİHİ, PASAPORT/YKN]</w:t>
      </w:r>
    </w:p>
    <w:p>
      <w:pPr>
        <w:widowControl/>
        <w:spacing w:after="80"/>
      </w:pPr>
      <w:r>
        <w:rPr>
          <w:b/>
        </w:rPr>
        <w:t xml:space="preserve">Tutulduğu yer : </w:t>
      </w:r>
      <w:r>
        <w:t>[GGM ADI, ADRES]</w:t>
      </w:r>
    </w:p>
    <w:p>
      <w:pPr>
        <w:widowControl/>
        <w:spacing w:after="80"/>
      </w:pPr>
      <w:r>
        <w:rPr>
          <w:b/>
        </w:rPr>
        <w:t xml:space="preserve">Varsa temsilci / vekil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Kararı veren : </w:t>
      </w:r>
      <w:r>
        <w:t>[İL] VALİLİĞİ</w:t>
      </w:r>
    </w:p>
    <w:p>
      <w:pPr>
        <w:widowControl/>
        <w:spacing w:after="80"/>
      </w:pPr>
      <w:r>
        <w:rPr>
          <w:b/>
        </w:rPr>
        <w:t xml:space="preserve">İtiraz konusu : </w:t>
      </w:r>
      <w:r>
        <w:t>[TARİH/SAYILI] idari gözetim / devam / uzatma kararı</w:t>
      </w:r>
    </w:p>
    <w:p>
      <w:pPr>
        <w:widowControl/>
        <w:spacing w:after="80"/>
      </w:pPr>
      <w:r>
        <w:rPr>
          <w:b/>
        </w:rPr>
        <w:t xml:space="preserve">Başlangıç ve süre : </w:t>
      </w:r>
      <w:r>
        <w:t>[GÖZETİME ALINMA TARİHİ, GEÇEN SÜRE]</w:t>
      </w:r>
    </w:p>
    <w:p>
      <w:pPr>
        <w:pStyle w:val="Heading1"/>
        <w:widowControl/>
      </w:pPr>
      <w:r>
        <w:rPr>
          <w:b/>
          <w:i w:val="0"/>
        </w:rPr>
        <w:t>I. KARARLAR VE TEBLİĞ</w:t>
      </w:r>
    </w:p>
    <w:p>
      <w:pPr>
        <w:widowControl/>
        <w:jc w:val="both"/>
      </w:pPr>
      <w:r>
        <w:rPr>
          <w:b w:val="0"/>
          <w:i w:val="0"/>
        </w:rPr>
        <w:t xml:space="preserve">1. Başvuran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6458 m. 57 kapsamında sınır dışı edilmek üzere idari gözetime alınmıştır. Karar gerekçesi </w:t>
      </w:r>
      <w:r>
        <w:rPr>
          <w:b/>
          <w:i w:val="0"/>
        </w:rPr>
        <w:t>[SOMUT GEREKÇE]</w:t>
      </w:r>
      <w:r>
        <w:rPr>
          <w:b w:val="0"/>
          <w:i w:val="0"/>
        </w:rPr>
        <w:t xml:space="preserve">, tebliğ tarihi ve tercüman durumu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Sonraki devam/uzatma kararları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olup ulaşılabilen örnekleri ektedir. Sunulmayan kararların idareden getirtilmesi istenmektedir.</w:t>
      </w:r>
    </w:p>
    <w:p>
      <w:pPr>
        <w:pStyle w:val="Heading1"/>
        <w:widowControl/>
      </w:pPr>
      <w:r>
        <w:rPr>
          <w:b/>
          <w:i w:val="0"/>
        </w:rPr>
        <w:t>II. GÖZETİMİN GEREKLİLİĞİNE İTİRAZ</w:t>
      </w:r>
    </w:p>
    <w:p>
      <w:pPr>
        <w:widowControl/>
        <w:jc w:val="both"/>
      </w:pPr>
      <w:r>
        <w:rPr>
          <w:b w:val="0"/>
          <w:i w:val="0"/>
        </w:rPr>
        <w:t xml:space="preserve">2. Kararda belirtilen </w:t>
      </w:r>
      <w:r>
        <w:rPr>
          <w:b/>
          <w:i w:val="0"/>
        </w:rPr>
        <w:t>[KAÇMA RİSKİ/DİĞER NEDEN]</w:t>
      </w:r>
      <w:r>
        <w:rPr>
          <w:b w:val="0"/>
          <w:i w:val="0"/>
        </w:rPr>
        <w:t xml:space="preserve"> yönünden somut durum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Başvuranın sabit adresi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, aile/sosyal bağı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, kimlik ve seyahat belgesinin temin durumu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Bildirime ve sürece uyduğunu gösteren </w:t>
      </w:r>
      <w:r>
        <w:rPr>
          <w:b/>
          <w:i w:val="0"/>
        </w:rPr>
        <w:t>[BELGELER]</w:t>
      </w:r>
      <w:r>
        <w:rPr>
          <w:b w:val="0"/>
          <w:i w:val="0"/>
        </w:rPr>
        <w:t xml:space="preserve"> bulunmaktadır. Soyut gerekçeyle özgürlüğün sınırlanmasının sürdürülmesine itiraz edilmektedir.</w:t>
      </w:r>
    </w:p>
    <w:p>
      <w:pPr>
        <w:widowControl/>
        <w:jc w:val="both"/>
      </w:pPr>
      <w:r>
        <w:rPr>
          <w:b w:val="0"/>
          <w:i w:val="0"/>
        </w:rPr>
        <w:t xml:space="preserve">3. Gözetimin amacıyla bağlantılı olarak yürütülen sınır dışı hazırlıkları </w:t>
      </w:r>
      <w:r>
        <w:rPr>
          <w:b/>
          <w:i w:val="0"/>
        </w:rPr>
        <w:t>[BİLİNEN İŞLEMLER]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[UZUN SÜRE İŞLEM YAPILMAMASI/SEYAHAT ENGELİ/SAĞLIK DURUMU]</w:t>
      </w:r>
      <w:r>
        <w:rPr>
          <w:b w:val="0"/>
          <w:i w:val="0"/>
        </w:rPr>
        <w:t xml:space="preserve"> somut olarak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açıklanmıştır. Varsa uzatma sebebinin başvuranın iş birliği yapmamasından kaynaklandığı iddiasına cevabımız </w:t>
      </w:r>
      <w:r>
        <w:rPr>
          <w:b/>
          <w:i w:val="0"/>
        </w:rPr>
        <w:t>[BELGELİ CEVAP]</w:t>
      </w:r>
      <w:r>
        <w:rPr>
          <w:b w:val="0"/>
          <w:i w:val="0"/>
        </w:rPr>
        <w:t>tır.</w:t>
      </w:r>
    </w:p>
    <w:p>
      <w:pPr>
        <w:widowControl/>
        <w:jc w:val="both"/>
      </w:pPr>
      <w:r>
        <w:rPr>
          <w:b w:val="0"/>
          <w:i w:val="0"/>
        </w:rPr>
        <w:t xml:space="preserve">4. Her ay yapılması gereken gereklilik incelemesinin sonuçları </w:t>
      </w:r>
      <w:r>
        <w:rPr>
          <w:b/>
          <w:i w:val="0"/>
        </w:rPr>
        <w:t>[TEBLİĞ EDİLEN/EDİLMEYEN KARARLAR]</w:t>
      </w:r>
      <w:r>
        <w:rPr>
          <w:b w:val="0"/>
          <w:i w:val="0"/>
        </w:rPr>
        <w:t xml:space="preserve"> şeklindedir. Gözetimin devamını gerektiren güncel olgular ve daha hafif tedbirlerin neden yetersiz kaldığı kararda </w:t>
      </w:r>
      <w:r>
        <w:rPr>
          <w:b/>
          <w:i w:val="0"/>
        </w:rPr>
        <w:t>[AÇIKLANMAYAN HUSUS]</w:t>
      </w:r>
      <w:r>
        <w:rPr>
          <w:b w:val="0"/>
          <w:i w:val="0"/>
        </w:rPr>
        <w:t xml:space="preserve"> bakımından ortaya konmamıştır.</w:t>
      </w:r>
    </w:p>
    <w:p>
      <w:pPr>
        <w:pStyle w:val="Heading1"/>
        <w:widowControl/>
      </w:pPr>
      <w:r>
        <w:rPr>
          <w:b/>
          <w:i w:val="0"/>
        </w:rPr>
        <w:t>III. ALTERNATİFLER VE DEĞİŞEN ŞARTLAR</w:t>
      </w:r>
    </w:p>
    <w:p>
      <w:pPr>
        <w:widowControl/>
        <w:jc w:val="both"/>
      </w:pPr>
      <w:r>
        <w:rPr>
          <w:b w:val="0"/>
          <w:i w:val="0"/>
        </w:rPr>
        <w:t xml:space="preserve">5. 6458 m. 57/A kapsamında belirli adreste ikamet ve bildirim gibi daha hafif yükümlülükler bakımından uygulanabilir plan </w:t>
      </w:r>
      <w:r>
        <w:rPr>
          <w:b/>
          <w:i w:val="0"/>
        </w:rPr>
        <w:t>[ADRES, EV SAHİBİ/YAKIN, İLETİŞİM, UYUM OLANAKLARI]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[VARSA ÖNCEKİ SULH CEZA KARARI]</w:t>
      </w:r>
      <w:r>
        <w:rPr>
          <w:b w:val="0"/>
          <w:i w:val="0"/>
        </w:rPr>
        <w:t xml:space="preserve">ndan sonra değişen şart </w:t>
      </w:r>
      <w:r>
        <w:rPr>
          <w:b/>
          <w:i w:val="0"/>
        </w:rPr>
        <w:t>[YENİ OLGU VE BELGE]</w:t>
      </w:r>
      <w:r>
        <w:rPr>
          <w:b w:val="0"/>
          <w:i w:val="0"/>
        </w:rPr>
        <w:t>dir. Sağlık/çocuk/bakım gibi kişisel durumlar yalnız mevcutsa belgeleriyle sunulmuştur.</w:t>
      </w:r>
    </w:p>
    <w:p>
      <w:pPr>
        <w:pStyle w:val="Heading1"/>
        <w:widowControl/>
      </w:pPr>
      <w:r>
        <w:rPr>
          <w:b/>
          <w:i w:val="0"/>
        </w:rPr>
        <w:t>HUKUKİ NEDENLER / DELİLLER</w:t>
      </w:r>
    </w:p>
    <w:p>
      <w:pPr>
        <w:widowControl/>
        <w:jc w:val="both"/>
      </w:pPr>
      <w:r>
        <w:rPr>
          <w:b w:val="0"/>
          <w:i w:val="0"/>
        </w:rPr>
        <w:t>Anayasa 19, 6458 m. 57 ve 57/A; idari gözetim, uzatma ve aylık değerlendirme kararları; tebliğler; adres/aile/sağlık ve iş birliği belgeleri; idarenin tüm gözetim ve sınır dışı hazırlık dosyası.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Başvurunun kabulüyle idari gözetim kararının kaldırılmasına ve serbest bırakılmamın sağlanmasına; gerekli görülürse kanuni alternatiflerin idarece değerlendirilmesine; karar ve aylık inceleme kayıtlarıyla dosyanın derhâl getirtilmesine; kararın gecikmeksizin ilgili idare ve merkeze bildirilmesine karar verilmesini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yasal temsilci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Gözetim ve uzatma kararları</w:t>
      </w:r>
    </w:p>
    <w:p>
      <w:pPr>
        <w:widowControl/>
      </w:pPr>
      <w:r>
        <w:rPr>
          <w:b w:val="0"/>
          <w:i w:val="0"/>
        </w:rPr>
        <w:t>2. Aylık inceleme ve tebliğ kayıtları</w:t>
      </w:r>
    </w:p>
    <w:p>
      <w:pPr>
        <w:widowControl/>
      </w:pPr>
      <w:r>
        <w:rPr>
          <w:b w:val="0"/>
          <w:i w:val="0"/>
        </w:rPr>
        <w:t>3. Adres/konaklama belgeleri</w:t>
      </w:r>
    </w:p>
    <w:p>
      <w:pPr>
        <w:widowControl/>
      </w:pPr>
      <w:r>
        <w:rPr>
          <w:b w:val="0"/>
          <w:i w:val="0"/>
        </w:rPr>
        <w:t>4. Aile/sağlık belgeleri</w:t>
      </w:r>
    </w:p>
    <w:p>
      <w:pPr>
        <w:widowControl/>
      </w:pPr>
      <w:r>
        <w:rPr>
          <w:b w:val="0"/>
          <w:i w:val="0"/>
        </w:rPr>
        <w:t>5. İş birliğini gösteren kayıtlar</w:t>
      </w:r>
    </w:p>
    <w:p>
      <w:pPr>
        <w:widowControl/>
      </w:pPr>
      <w:r>
        <w:rPr>
          <w:b w:val="0"/>
          <w:i w:val="0"/>
        </w:rPr>
        <w:t>6. Önceki sulh ceza kararı varsa</w:t>
      </w:r>
    </w:p>
    <w:p>
      <w:pPr>
        <w:widowControl/>
      </w:pPr>
      <w:r>
        <w:rPr>
          <w:b w:val="0"/>
          <w:i w:val="0"/>
        </w:rPr>
        <w:t>7.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Gözetim Kararına İtiraz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