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[ÜST MAKAM; ÜST MAKAM YOKSA İŞLEMİ YAPAN MAKAM]</w:t>
      </w:r>
      <w:r>
        <w:rPr>
          <w:b/>
          <w:i w:val="0"/>
        </w:rPr>
        <w:t>NA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SOYAD/UNVAN, T.C./VERGİ NO, ADRES]</w:t>
      </w:r>
    </w:p>
    <w:p>
      <w:pPr>
        <w:widowControl/>
        <w:spacing w:after="80"/>
      </w:pPr>
      <w:r>
        <w:rPr>
          <w:b/>
        </w:rPr>
        <w:t xml:space="preserve">Varsa vekil / temsilci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Konu : </w:t>
      </w:r>
      <w:r>
        <w:t>2577 sayılı Kanun m. 11 uyarınca [İŞLEMİN] yeniden incelenmesi</w:t>
      </w:r>
    </w:p>
    <w:p>
      <w:pPr>
        <w:widowControl/>
        <w:spacing w:after="80"/>
      </w:pPr>
      <w:r>
        <w:rPr>
          <w:b/>
        </w:rPr>
        <w:t xml:space="preserve">İşlem / tebliğ : </w:t>
      </w:r>
      <w:r>
        <w:t>[MAKAM, TARİH, SAYI] / [TEBLİĞ TARİHİ]</w:t>
      </w:r>
    </w:p>
    <w:p>
      <w:pPr>
        <w:widowControl/>
        <w:spacing w:after="80"/>
      </w:pPr>
      <w:r>
        <w:rPr>
          <w:b/>
        </w:rPr>
        <w:t xml:space="preserve">Süre kaydı : </w:t>
      </w:r>
      <w:r>
        <w:t>[DAVA SÜRESİ, BAŞVURUYA KADAR GEÇEN GÜN, KALAN GÜN]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[İŞLEMİ TESİS EDEN MAKAM]</w:t>
      </w:r>
      <w:r>
        <w:rPr>
          <w:b w:val="0"/>
          <w:i w:val="0"/>
        </w:rPr>
        <w:t xml:space="preserve"> tarafından alınan </w:t>
      </w:r>
      <w:r>
        <w:rPr>
          <w:b/>
          <w:i w:val="0"/>
        </w:rPr>
        <w:t>[KARAR]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[SOMUT HUKUKİ SONUÇ]</w:t>
      </w:r>
      <w:r>
        <w:rPr>
          <w:b w:val="0"/>
          <w:i w:val="0"/>
        </w:rPr>
        <w:t xml:space="preserve"> doğmuştur. İşlem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bildirilmiştir. Henüz idari dava açılmamıştır. Başvuru, işlem için geçerli dava süresi içinde yapılmaktadır.</w:t>
      </w:r>
    </w:p>
    <w:p>
      <w:pPr>
        <w:widowControl/>
        <w:jc w:val="both"/>
      </w:pPr>
      <w:r>
        <w:rPr>
          <w:b w:val="0"/>
          <w:i w:val="0"/>
        </w:rPr>
        <w:t xml:space="preserve">2. İşlemin dayandığı </w:t>
      </w:r>
      <w:r>
        <w:rPr>
          <w:b/>
          <w:i w:val="0"/>
        </w:rPr>
        <w:t>[OLGU/TESPİT]</w:t>
      </w:r>
      <w:r>
        <w:rPr>
          <w:b w:val="0"/>
          <w:i w:val="0"/>
        </w:rPr>
        <w:t xml:space="preserve"> gerçeği yansıtmamaktadır; </w:t>
      </w:r>
      <w:r>
        <w:rPr>
          <w:b/>
          <w:i w:val="0"/>
        </w:rPr>
        <w:t>[DOĞRU OLGU]</w:t>
      </w:r>
      <w:r>
        <w:rPr>
          <w:b w:val="0"/>
          <w:i w:val="0"/>
        </w:rPr>
        <w:t xml:space="preserve">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sabittir. İşlemden önce sunulan </w:t>
      </w:r>
      <w:r>
        <w:rPr>
          <w:b/>
          <w:i w:val="0"/>
        </w:rPr>
        <w:t>[BELGE/SAVUNMA]</w:t>
      </w:r>
      <w:r>
        <w:rPr>
          <w:b w:val="0"/>
          <w:i w:val="0"/>
        </w:rPr>
        <w:t xml:space="preserve"> değerlendirilmemiş / </w:t>
      </w:r>
      <w:r>
        <w:rPr>
          <w:b/>
          <w:i w:val="0"/>
        </w:rPr>
        <w:t>[SOMUT YANLIŞLIK]</w:t>
      </w:r>
      <w:r>
        <w:rPr>
          <w:b w:val="0"/>
          <w:i w:val="0"/>
        </w:rPr>
        <w:t xml:space="preserve"> yapılmıştır.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[MEVZUAT MADDESİ]</w:t>
      </w:r>
      <w:r>
        <w:rPr>
          <w:b w:val="0"/>
          <w:i w:val="0"/>
        </w:rPr>
        <w:t xml:space="preserve"> uyarınca aranan </w:t>
      </w:r>
      <w:r>
        <w:rPr>
          <w:b/>
          <w:i w:val="0"/>
        </w:rPr>
        <w:t>[KOŞUL]</w:t>
      </w:r>
      <w:r>
        <w:rPr>
          <w:b w:val="0"/>
          <w:i w:val="0"/>
        </w:rPr>
        <w:t xml:space="preserve"> ile somut durum arasındaki ilişki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İşlemin </w:t>
      </w:r>
      <w:r>
        <w:rPr>
          <w:b/>
          <w:i w:val="0"/>
        </w:rPr>
        <w:t>[YETKİ/ŞEKİL/SEBEP/KONU/AMAÇ]</w:t>
      </w:r>
      <w:r>
        <w:rPr>
          <w:b w:val="0"/>
          <w:i w:val="0"/>
        </w:rPr>
        <w:t xml:space="preserve"> yönünden hukuka aykırılığı </w:t>
      </w:r>
      <w:r>
        <w:rPr>
          <w:b/>
          <w:i w:val="0"/>
        </w:rPr>
        <w:t>[SOMUT GEREKÇE]</w:t>
      </w:r>
      <w:r>
        <w:rPr>
          <w:b w:val="0"/>
          <w:i w:val="0"/>
        </w:rPr>
        <w:t xml:space="preserve"> nedeniyle ortaya çıkmaktadır. İstenen düzeltme yalnız lehe takdir değil, bu aykırılığın giderilmesidir.</w:t>
      </w:r>
    </w:p>
    <w:p>
      <w:pPr>
        <w:widowControl/>
        <w:jc w:val="both"/>
      </w:pPr>
      <w:r>
        <w:rPr>
          <w:b w:val="0"/>
          <w:i w:val="0"/>
        </w:rPr>
        <w:t xml:space="preserve">4. Başvurumun sonucu olarak </w:t>
      </w:r>
      <w:r>
        <w:rPr>
          <w:b/>
          <w:i w:val="0"/>
        </w:rPr>
        <w:t>[İŞLEMİN GERİ ALINMASI/KALDIRILMASI/DEĞİŞTİRİLMESİ/YENİ İŞLEM YAPILMASI]</w:t>
      </w:r>
      <w:r>
        <w:rPr>
          <w:b w:val="0"/>
          <w:i w:val="0"/>
        </w:rPr>
        <w:t xml:space="preserve"> ve </w:t>
      </w:r>
      <w:r>
        <w:rPr>
          <w:b/>
          <w:i w:val="0"/>
        </w:rPr>
        <w:t>[SONUÇLARININ NASIL DÜZELTİLECEĞİ]</w:t>
      </w:r>
      <w:r>
        <w:rPr>
          <w:b w:val="0"/>
          <w:i w:val="0"/>
        </w:rPr>
        <w:t xml:space="preserve"> talep edilmektedir. Seçilen talebin zaman bakımından etkisi ve gerekçesi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2577 sayılı Kanun m. 11 uyarınca </w:t>
      </w:r>
      <w:r>
        <w:rPr>
          <w:b/>
          <w:i w:val="0"/>
        </w:rPr>
        <w:t>[İŞLEMİN AÇIKÇA BELİRTİLEN BİÇİMDE DÜZELTİLMESİNİ]</w:t>
      </w:r>
      <w:r>
        <w:rPr>
          <w:b w:val="0"/>
          <w:i w:val="0"/>
        </w:rPr>
        <w:t>; dayanak dosyanın yeniden incelenmesini; gerekçeli kararın tarafıma bildirilmesini arz ederim. Başvurunun dava açma süresine ilişkin kanuni sonucu saklıdır.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İşlem ve tebliğ</w:t>
      </w:r>
    </w:p>
    <w:p>
      <w:pPr>
        <w:widowControl/>
      </w:pPr>
      <w:r>
        <w:rPr>
          <w:b w:val="0"/>
          <w:i w:val="0"/>
        </w:rPr>
        <w:t>2. Dayanak belgeler</w:t>
      </w:r>
    </w:p>
    <w:p>
      <w:pPr>
        <w:widowControl/>
      </w:pPr>
      <w:r>
        <w:rPr>
          <w:b w:val="0"/>
          <w:i w:val="0"/>
        </w:rPr>
        <w:t>3. Önceki başvuru ve savunma</w:t>
      </w:r>
    </w:p>
    <w:p>
      <w:pPr>
        <w:widowControl/>
      </w:pPr>
      <w:r>
        <w:rPr>
          <w:b w:val="0"/>
          <w:i w:val="0"/>
        </w:rPr>
        <w:t>4. Temsil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İYUK 11 Kapsamında Üst Makama Başvuru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