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MAL REJİMİ İNCELEMESİ İÇİN BİLGİ VE BELGE ENVANTERİ</w:t>
      </w:r>
    </w:p>
    <w:p>
      <w:pPr>
        <w:widowControl/>
        <w:spacing w:after="80"/>
      </w:pPr>
      <w:r>
        <w:rPr>
          <w:b/>
        </w:rPr>
        <w:t xml:space="preserve">Eşler : </w:t>
      </w:r>
      <w:r>
        <w:t>[ADLAR VE KİMLİK BİLGİLERİ]</w:t>
      </w:r>
    </w:p>
    <w:p>
      <w:pPr>
        <w:widowControl/>
        <w:spacing w:after="80"/>
      </w:pPr>
      <w:r>
        <w:rPr>
          <w:b/>
        </w:rPr>
        <w:t xml:space="preserve">Evlilik tarihi / yeri : </w:t>
      </w:r>
      <w:r>
        <w:t>[BİLGİ]</w:t>
      </w:r>
    </w:p>
    <w:p>
      <w:pPr>
        <w:widowControl/>
        <w:spacing w:after="80"/>
      </w:pPr>
      <w:r>
        <w:rPr>
          <w:b/>
        </w:rPr>
        <w:t xml:space="preserve">Boşanma veya mal rejimini sona erdiren olay : </w:t>
      </w:r>
      <w:r>
        <w:t>[DAVA TARİHİ, KARAR, ÖLÜM VB.]</w:t>
      </w:r>
    </w:p>
    <w:p>
      <w:pPr>
        <w:widowControl/>
        <w:spacing w:after="80"/>
      </w:pPr>
      <w:r>
        <w:rPr>
          <w:b/>
        </w:rPr>
        <w:t xml:space="preserve">Mal rejimi sözleşmesi — varsa : </w:t>
      </w:r>
      <w:r>
        <w:t>[NOTER, TARİH, YEVMİYE, SEÇİLEN REJİM]</w:t>
      </w:r>
    </w:p>
    <w:p>
      <w:pPr>
        <w:widowControl/>
        <w:spacing w:after="80"/>
      </w:pPr>
      <w:r>
        <w:rPr>
          <w:b/>
        </w:rPr>
        <w:t xml:space="preserve">Önceki dava / protokol : </w:t>
      </w:r>
      <w:r>
        <w:t>[DOSYA, TARİH, İLGİLİ HÜKÜM]</w:t>
      </w:r>
    </w:p>
    <w:p>
      <w:pPr>
        <w:widowControl/>
        <w:jc w:val="both"/>
      </w:pPr>
      <w:r>
        <w:rPr>
          <w:b w:val="0"/>
          <w:i w:val="0"/>
        </w:rPr>
        <w:t>Bu çalışma belgesi, edinilmiş mal/kişisel mal ayrımı ve katkıların izlenmesi için hazırlanmıştır. Mülkiyet kaydı tek başına tasfiye alacağının türünü veya tutarını belirlemez. Evlilik dönemleri ve uygulanan rejim ayrıca değerlendirilir.</w:t>
      </w:r>
    </w:p>
    <w:p>
      <w:pPr>
        <w:pStyle w:val="Heading1"/>
        <w:widowControl/>
      </w:pPr>
      <w:r>
        <w:rPr>
          <w:b/>
          <w:i w:val="0"/>
        </w:rPr>
        <w:t>1. Varlıklar ve edinim kaynağı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Varlık / kimin adına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Edinim tarihi ve bedeli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Kaynak / katkı / borç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Taşınmaz: </w:t>
            </w:r>
            <w:r>
              <w:rPr>
                <w:b/>
                <w:i w:val="0"/>
                <w:sz w:val="22"/>
              </w:rPr>
              <w:t>[ADA PARSEL, ADRES]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BEDEL]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[KREDİ, PEŞİNAT, MİRAS, BAĞIŞ, SATIŞ GELİRİ]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Araç: </w:t>
            </w:r>
            <w:r>
              <w:rPr>
                <w:b/>
                <w:i w:val="0"/>
                <w:sz w:val="22"/>
              </w:rPr>
              <w:t>[PLAKA]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BEDEL]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[KAYNAK, KREDİ]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Banka / yatırım: </w:t>
            </w:r>
            <w:r>
              <w:rPr>
                <w:b/>
                <w:i w:val="0"/>
                <w:sz w:val="22"/>
              </w:rPr>
              <w:t>[KURUM]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[AÇILIŞ / ÖNEMLİ İŞLEM TARİHİ]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[KAYNAK, BAKİYE]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Şirket/pay/işletme: </w:t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PAY]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[SERMAYE, GELİR]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 xml:space="preserve">Diğer mal/hak: </w:t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BEDEL]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[KAYNAK]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Katkı ve borç hareketleri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İşlem ve tarih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Katkı yapan / ödeyen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ve kanıt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[PEŞİNAT / KREDİ TAKSİTİ / İYİLEŞTİRME]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DEKONT]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[MİRAS / BAĞIŞ / KİŞİSEL MAL SATIŞI]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[DEVAM EDEN BORÇ]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[BORÇLU / ALACAKLI]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[KALAN BORÇ, VADE]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Devirler ve korunması istenen varlıklar</w:t>
      </w:r>
    </w:p>
    <w:p>
      <w:pPr>
        <w:widowControl/>
        <w:jc w:val="both"/>
      </w:pPr>
      <w:r>
        <w:rPr>
          <w:b w:val="0"/>
          <w:i w:val="0"/>
        </w:rPr>
        <w:t xml:space="preserve">Eşler arasında veya üçüncü kişilere yapılan devir/bağışlar: </w:t>
      </w:r>
      <w:r>
        <w:rPr>
          <w:b/>
          <w:i w:val="0"/>
        </w:rPr>
        <w:t>[TARİH, MAL, ALICI, BEDEL, BİLİNEN AMAÇ]</w:t>
      </w:r>
      <w:r>
        <w:rPr>
          <w:b w:val="0"/>
          <w:i w:val="0"/>
        </w:rPr>
        <w:t xml:space="preserve">. Tasfiye alacağını etkileyebilecek somut risk: </w:t>
      </w:r>
      <w:r>
        <w:rPr>
          <w:b/>
          <w:i w:val="0"/>
        </w:rPr>
        <w:t>[SATIŞ HAZIRLIĞI, HESAP HAREKETİ VB.]</w:t>
      </w:r>
      <w:r>
        <w:rPr>
          <w:b w:val="0"/>
          <w:i w:val="0"/>
        </w:rPr>
        <w:t xml:space="preserve">. Talep edilecek kayıtların kurum ve tarih aralığı: </w:t>
      </w:r>
      <w:r>
        <w:rPr>
          <w:b/>
          <w:i w:val="0"/>
        </w:rPr>
        <w:t>[BİLGİ]</w:t>
      </w:r>
      <w:r>
        <w:rPr>
          <w:b w:val="0"/>
          <w:i w:val="0"/>
        </w:rPr>
        <w:t>.</w:t>
      </w:r>
    </w:p>
    <w:p>
      <w:pPr>
        <w:pStyle w:val="Heading1"/>
        <w:widowControl/>
      </w:pPr>
      <w:r>
        <w:rPr>
          <w:b/>
          <w:i w:val="0"/>
        </w:rPr>
        <w:t>4. Önceki beyanlar ve açık sorular</w:t>
      </w:r>
    </w:p>
    <w:p>
      <w:pPr>
        <w:widowControl/>
        <w:jc w:val="both"/>
      </w:pPr>
      <w:r>
        <w:rPr>
          <w:b w:val="0"/>
          <w:i w:val="0"/>
        </w:rPr>
        <w:t>Protokol, ibra, ödeme veya mahkeme kararında mal rejimine ilişkin hükümler aynen ayrı eklenir. Bilinmeyen hususlar tahmin edilmeden “bilinmiyor” olarak gösterilir. Başkasının hesabına/cihazına izinsiz erişilerek belge toplanmaz; mahkemece getirtilmesi gereken kayıtlar ayrıca listelenir.</w:t>
      </w:r>
    </w:p>
    <w:p>
      <w:pPr>
        <w:widowControl/>
        <w:jc w:val="both"/>
      </w:pPr>
      <w:r>
        <w:rPr>
          <w:b w:val="0"/>
          <w:i w:val="0"/>
        </w:rPr>
        <w:t xml:space="preserve">Belgeyi hazırlayanın açıklaması: Bilgiler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itibarıyla bilinen kayıt ve belgelere dayanır. Bu liste alacak hesabı, dava dilekçesi veya haklardan feragat değildir.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Bilgi veren</w:t>
        <w:br/>
      </w:r>
      <w:r>
        <w:rPr>
          <w:b/>
          <w:i w:val="0"/>
        </w:rPr>
        <w:t>[AD — TARİH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Tapu ve araç kayıtları</w:t>
      </w:r>
    </w:p>
    <w:p>
      <w:pPr>
        <w:widowControl/>
      </w:pPr>
      <w:r>
        <w:rPr>
          <w:b w:val="0"/>
          <w:i w:val="0"/>
        </w:rPr>
        <w:t>2. Banka/kredi hareketleri</w:t>
      </w:r>
    </w:p>
    <w:p>
      <w:pPr>
        <w:widowControl/>
      </w:pPr>
      <w:r>
        <w:rPr>
          <w:b w:val="0"/>
          <w:i w:val="0"/>
        </w:rPr>
        <w:t>3. Miras/bağış belgeleri</w:t>
      </w:r>
    </w:p>
    <w:p>
      <w:pPr>
        <w:widowControl/>
      </w:pPr>
      <w:r>
        <w:rPr>
          <w:b w:val="0"/>
          <w:i w:val="0"/>
        </w:rPr>
        <w:t>4. Şirket payı ve mali kayıtlar</w:t>
      </w:r>
    </w:p>
    <w:p>
      <w:pPr>
        <w:widowControl/>
      </w:pPr>
      <w:r>
        <w:rPr>
          <w:b w:val="0"/>
          <w:i w:val="0"/>
        </w:rPr>
        <w:t>5. Boşanma dilekçesi, karar, protokol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Paylaşımı Bilgi ve Belge Listesi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