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MİRAS PAYLAŞIM SÖZLEŞMESİ</w:t>
      </w:r>
    </w:p>
    <w:p>
      <w:pPr>
        <w:widowControl/>
        <w:spacing w:after="80"/>
      </w:pPr>
      <w:r>
        <w:rPr>
          <w:b/>
        </w:rPr>
        <w:t xml:space="preserve">Mirasbırakan : </w:t>
      </w:r>
      <w:r>
        <w:t>[AD SOYAD, T.C. NO, ÖLÜM TARİHİ]</w:t>
      </w:r>
    </w:p>
    <w:p>
      <w:pPr>
        <w:widowControl/>
        <w:spacing w:after="80"/>
      </w:pPr>
      <w:r>
        <w:rPr>
          <w:b/>
        </w:rPr>
        <w:t xml:space="preserve">Mirasçılık belgesi : </w:t>
      </w:r>
      <w:r>
        <w:t>[MAHKEME / NOTER, TARİH, ESAS-KARAR / YEVMİYE NO]</w:t>
      </w:r>
    </w:p>
    <w:p>
      <w:pPr>
        <w:widowControl/>
        <w:spacing w:after="80"/>
      </w:pPr>
      <w:r>
        <w:rPr>
          <w:b/>
        </w:rPr>
        <w:t xml:space="preserve">İmza tarihi ve yeri : </w:t>
      </w:r>
      <w:r>
        <w:t>[TARİH / YER]</w:t>
      </w:r>
    </w:p>
    <w:p>
      <w:pPr>
        <w:pStyle w:val="Heading1"/>
        <w:widowControl/>
      </w:pPr>
      <w:r>
        <w:rPr>
          <w:b/>
          <w:i w:val="0"/>
        </w:rPr>
        <w:t>1. Taraflar ve paylaşmanın kapsamı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Mirasçı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Kimlik no ve adres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Miras payı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Temsil varsa dayanağı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[MİRASÇI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[KİMLİK / ADRES]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[MİRASÇI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[KİMLİK / ADRES]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Bu sözleşmeye terekedeki hakları etkilenen bütün mirasçılar katılmıştır. Paylaşım </w:t>
      </w:r>
      <w:r>
        <w:rPr>
          <w:b/>
          <w:i w:val="0"/>
        </w:rPr>
        <w:t>[TEREKENİN TAMAMI / AŞAĞIDA SAYILAN MALLARLA SINIRLI KISMİ PAYLAŞIM]</w:t>
      </w:r>
      <w:r>
        <w:rPr>
          <w:b w:val="0"/>
          <w:i w:val="0"/>
        </w:rPr>
        <w:t xml:space="preserve"> niteliğindedir. Kısmi paylaşımda kapsam dışı mal ve haklar üzerindeki miras ortaklığı devam eder.</w:t>
      </w:r>
    </w:p>
    <w:p>
      <w:pPr>
        <w:pStyle w:val="Heading1"/>
        <w:widowControl/>
      </w:pPr>
      <w:r>
        <w:rPr>
          <w:b/>
          <w:i w:val="0"/>
        </w:rPr>
        <w:t>2. Malvarlığı envanteri ve özgüleme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Mal / hak ve ayırt edici bilgi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Mutabık değer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Özgülendiği mirasçı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Devir / teslim tarihi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[İL, İLÇE, ADA, PARSEL, BAĞIMSIZ BÖLÜM]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[BANKA, HESAP / ARAÇ PLAKA-ŞASİ / DİĞER MAL]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Pay denkleştirmesi</w:t>
      </w:r>
    </w:p>
    <w:p>
      <w:pPr>
        <w:widowControl/>
        <w:jc w:val="both"/>
      </w:pPr>
      <w:r>
        <w:rPr>
          <w:b w:val="0"/>
          <w:i w:val="0"/>
        </w:rPr>
        <w:t xml:space="preserve">Malların üzerinde anlaşılan değerleri ve miras payları gözetildiğinde </w:t>
      </w:r>
      <w:r>
        <w:rPr>
          <w:b/>
          <w:i w:val="0"/>
        </w:rPr>
        <w:t>[MİRASÇI]</w:t>
      </w:r>
      <w:r>
        <w:rPr>
          <w:b w:val="0"/>
          <w:i w:val="0"/>
        </w:rPr>
        <w:t xml:space="preserve"> tarafından </w:t>
      </w:r>
      <w:r>
        <w:rPr>
          <w:b/>
          <w:i w:val="0"/>
        </w:rPr>
        <w:t>[MİRASÇI]</w:t>
      </w:r>
      <w:r>
        <w:rPr>
          <w:b w:val="0"/>
          <w:i w:val="0"/>
        </w:rPr>
        <w:t xml:space="preserve"> kişisine </w:t>
      </w:r>
      <w:r>
        <w:rPr>
          <w:b/>
          <w:i w:val="0"/>
        </w:rPr>
        <w:t>[TUTAR VE PARA BİRİMİ]</w:t>
      </w:r>
      <w:r>
        <w:rPr>
          <w:b w:val="0"/>
          <w:i w:val="0"/>
        </w:rPr>
        <w:t xml:space="preserve"> denkleştirme bedeli ödenecektir. Ödeme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[IBAN / YÖNTEM]</w:t>
      </w:r>
      <w:r>
        <w:rPr>
          <w:b w:val="0"/>
          <w:i w:val="0"/>
        </w:rPr>
        <w:t xml:space="preserve"> ile yapılır; açıklamaya bu sözleşme yazılır. Denkleştirme gerekmiyorsa bu durum açıkça belirtilir.</w:t>
      </w:r>
    </w:p>
    <w:p>
      <w:pPr>
        <w:pStyle w:val="Heading1"/>
        <w:widowControl/>
      </w:pPr>
      <w:r>
        <w:rPr>
          <w:b/>
          <w:i w:val="0"/>
        </w:rPr>
        <w:t>4. Tereke borçları ve giderler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Alacaklı / borcun dayanağı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 / vade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Mirasçıların iç ilişkide üstlendiği pay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[ALACAKLI VE BELGE]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 / 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[DAĞILIM]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Borçların yukarıdaki iç paylaşımı, alacaklıların kanuni haklarını ortadan kaldırmaz. Alacaklı tarafından geçerli biçimde kabul edilmiş bir borçtan kurtarma bulunmadıkça mirasçıların dış ilişkideki sorumluluğu kanuna tabidir. Ortak giderler </w:t>
      </w:r>
      <w:r>
        <w:rPr>
          <w:b/>
          <w:i w:val="0"/>
        </w:rPr>
        <w:t>[ORAN / KALEM]</w:t>
      </w:r>
      <w:r>
        <w:rPr>
          <w:b w:val="0"/>
          <w:i w:val="0"/>
        </w:rPr>
        <w:t xml:space="preserve"> esasına göre karşılanacaktır.</w:t>
      </w:r>
    </w:p>
    <w:p>
      <w:pPr>
        <w:pStyle w:val="Heading1"/>
        <w:widowControl/>
      </w:pPr>
      <w:r>
        <w:rPr>
          <w:b/>
          <w:i w:val="0"/>
        </w:rPr>
        <w:t>5. Teslim, tescil ve sonradan ortaya çıkan mallar</w:t>
      </w:r>
    </w:p>
    <w:p>
      <w:pPr>
        <w:widowControl/>
        <w:jc w:val="both"/>
      </w:pPr>
      <w:r>
        <w:rPr>
          <w:b w:val="0"/>
          <w:i w:val="0"/>
        </w:rPr>
        <w:t xml:space="preserve">Taraflar taşınmaz tescili, araç devri, banka ödemesi ve diğer resmî işlemler için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gerekli başvuruları birlikte yapacak ve gerekli belgeleri sunacaktır. Bu metnin imzalanması, ayrıca tescil/devir gerektiren işlemleri tek başına tamamlamaz. Sonradan tespit edilen tereke malları ve borçları için yazılı ek protokol yapılacaktır.</w:t>
      </w:r>
    </w:p>
    <w:p>
      <w:pPr>
        <w:pStyle w:val="Heading1"/>
        <w:widowControl/>
      </w:pPr>
      <w:r>
        <w:rPr>
          <w:b/>
          <w:i w:val="0"/>
        </w:rPr>
        <w:t>6. Beyanlar ve nüshalar</w:t>
      </w:r>
    </w:p>
    <w:p>
      <w:pPr>
        <w:widowControl/>
        <w:jc w:val="both"/>
      </w:pPr>
      <w:r>
        <w:rPr>
          <w:b w:val="0"/>
          <w:i w:val="0"/>
        </w:rPr>
        <w:t xml:space="preserve">Her mirasçı bildiği tereke mal, hak ve borçlarını envantere aktarmıştır. Bu sözleşme yalnız açıkça paylaşılan haklara ilişkindir; belirtilmemiş mallar bakımından genel ibra veya mirastan feragat içermez. Ekli envanter ve denkleştirme cetveliyle birlikte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nüsha imzalanmıştır.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Mirasçı 1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  <w:br/>
        <w:t>Mirasçı 2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  <w:br/>
        <w:t>Diğer bütün mirasçılar / yetkili temsilcileri</w:t>
        <w:br/>
      </w:r>
      <w:r>
        <w:rPr>
          <w:b/>
          <w:i w:val="0"/>
        </w:rPr>
        <w:t>[HER BİRİ İÇİN AD SOYAD,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Mirasçılık belgesi</w:t>
      </w:r>
    </w:p>
    <w:p>
      <w:pPr>
        <w:widowControl/>
      </w:pPr>
      <w:r>
        <w:rPr>
          <w:b w:val="0"/>
          <w:i w:val="0"/>
        </w:rPr>
        <w:t>2. Tereke mal ve borç envanteri</w:t>
      </w:r>
    </w:p>
    <w:p>
      <w:pPr>
        <w:widowControl/>
      </w:pPr>
      <w:r>
        <w:rPr>
          <w:b w:val="0"/>
          <w:i w:val="0"/>
        </w:rPr>
        <w:t>3. Tapu ve diğer kayıtlar</w:t>
      </w:r>
    </w:p>
    <w:p>
      <w:pPr>
        <w:widowControl/>
      </w:pPr>
      <w:r>
        <w:rPr>
          <w:b w:val="0"/>
          <w:i w:val="0"/>
        </w:rPr>
        <w:t>4. Denkleştirme hesabı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 Paylaşım Sözleşmesi</dc:title>
  <dc:subject>Miras Hukuku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