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ÖDÜNÇ PARA SÖZLEŞMESİ</w:t>
      </w:r>
    </w:p>
    <w:p>
      <w:pPr>
        <w:widowControl/>
        <w:spacing w:after="60"/>
      </w:pPr>
      <w:r>
        <w:rPr>
          <w:b/>
        </w:rPr>
        <w:t xml:space="preserve">Ödünç veren : </w:t>
      </w:r>
      <w:r>
        <w:t>[AD SOYAD / UNVAN, T.C. / VERGİ NO, ADRES]</w:t>
      </w:r>
    </w:p>
    <w:p>
      <w:pPr>
        <w:widowControl/>
        <w:spacing w:after="60"/>
      </w:pPr>
      <w:r>
        <w:rPr>
          <w:b/>
        </w:rPr>
        <w:t xml:space="preserve">Ödünç alan : </w:t>
      </w:r>
      <w:r>
        <w:t>[AD SOYAD / UNVAN, T.C. / VERGİ NO, ADRES]</w:t>
      </w:r>
    </w:p>
    <w:p>
      <w:pPr>
        <w:widowControl/>
        <w:spacing w:after="60"/>
      </w:pPr>
      <w:r>
        <w:rPr>
          <w:b/>
        </w:rPr>
        <w:t xml:space="preserve">İmza tarihi ve yeri : </w:t>
      </w:r>
      <w:r>
        <w:t>[TARİH] / [YER]</w:t>
      </w:r>
    </w:p>
    <w:p>
      <w:pPr>
        <w:pStyle w:val="Heading1"/>
        <w:widowControl/>
      </w:pPr>
      <w:r>
        <w:rPr>
          <w:b/>
          <w:i w:val="0"/>
        </w:rPr>
        <w:t>1. Ödünç tutarı ve teslim</w:t>
      </w:r>
    </w:p>
    <w:p>
      <w:pPr>
        <w:widowControl/>
        <w:jc w:val="both"/>
      </w:pPr>
      <w:r>
        <w:rPr>
          <w:b w:val="0"/>
          <w:i w:val="0"/>
        </w:rPr>
        <w:t xml:space="preserve">Ödünç veren, ödünç alana </w:t>
      </w:r>
      <w:r>
        <w:rPr>
          <w:b/>
          <w:i w:val="0"/>
        </w:rPr>
        <w:t>[RAKAM VE YAZIYLA TUTAR, PARA BİRİMİ]</w:t>
      </w:r>
      <w:r>
        <w:rPr>
          <w:b w:val="0"/>
          <w:i w:val="0"/>
        </w:rPr>
        <w:t xml:space="preserve"> ödünç vermeyi; ödünç alan aynı tutarı aşağıdaki koşullarla geri ödemeyi kabul eder. Para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[IBAN / BANKA]</w:t>
      </w:r>
      <w:r>
        <w:rPr>
          <w:b w:val="0"/>
          <w:i w:val="0"/>
        </w:rPr>
        <w:t xml:space="preserve"> yoluyla aktarılacaktır / aktarılmıştır. Gerçekleşen teslimin dekont numarası </w:t>
      </w:r>
      <w:r>
        <w:rPr>
          <w:b/>
          <w:i w:val="0"/>
        </w:rPr>
        <w:t>[NO]</w:t>
      </w:r>
      <w:r>
        <w:rPr>
          <w:b w:val="0"/>
          <w:i w:val="0"/>
        </w:rPr>
        <w:t>dur. Sadece imza atılması, henüz yapılmamış para tesliminin yapıldığını göstermez.</w:t>
      </w:r>
    </w:p>
    <w:p>
      <w:pPr>
        <w:pStyle w:val="Heading1"/>
        <w:widowControl/>
      </w:pPr>
      <w:r>
        <w:rPr>
          <w:b/>
          <w:i w:val="0"/>
        </w:rPr>
        <w:t>2. Vade ve geri ödeme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Ödeme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Vade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Ödeme hesabı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[TEK ÖDEME / TAKSİT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[HESAP SAHİBİ / IBAN]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TAKSİT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[IBAN]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Faiz tercihi</w:t>
      </w:r>
    </w:p>
    <w:p>
      <w:pPr>
        <w:widowControl/>
        <w:jc w:val="both"/>
      </w:pPr>
      <w:r>
        <w:rPr>
          <w:b w:val="0"/>
          <w:i w:val="0"/>
        </w:rPr>
        <w:t xml:space="preserve">Tarafların açık tercihi: </w:t>
      </w:r>
      <w:r>
        <w:rPr>
          <w:b/>
          <w:i w:val="0"/>
        </w:rPr>
        <w:t>[FAİZSİZ ÖDÜNÇ / YILLIK BASİT % ... AKDİ FAİZ]</w:t>
      </w:r>
      <w:r>
        <w:rPr>
          <w:b w:val="0"/>
          <w:i w:val="0"/>
        </w:rPr>
        <w:t xml:space="preserve">. Faizli seçenekte başlangıç tarihi paranın fiilen teslim edildiği tarih, hesap dönemi </w:t>
      </w:r>
      <w:r>
        <w:rPr>
          <w:b/>
          <w:i w:val="0"/>
        </w:rPr>
        <w:t>[DÖNEM]</w:t>
      </w:r>
      <w:r>
        <w:rPr>
          <w:b w:val="0"/>
          <w:i w:val="0"/>
        </w:rPr>
        <w:t xml:space="preserve"> ve ödeme zamanı </w:t>
      </w:r>
      <w:r>
        <w:rPr>
          <w:b/>
          <w:i w:val="0"/>
        </w:rPr>
        <w:t>[TARİH]</w:t>
      </w:r>
      <w:r>
        <w:rPr>
          <w:b w:val="0"/>
          <w:i w:val="0"/>
        </w:rPr>
        <w:t>dir. Faiz anaparaya eklenerek yeniden faiz hesaplanmaz. Uygulanacak emredici faiz sınırları saklıdır.</w:t>
      </w:r>
    </w:p>
    <w:p>
      <w:pPr>
        <w:pStyle w:val="Heading1"/>
        <w:widowControl/>
      </w:pPr>
      <w:r>
        <w:rPr>
          <w:b/>
          <w:i w:val="0"/>
        </w:rPr>
        <w:t>4. Erken ödeme ve temerrüt</w:t>
      </w:r>
    </w:p>
    <w:p>
      <w:pPr>
        <w:widowControl/>
        <w:jc w:val="both"/>
      </w:pPr>
      <w:r>
        <w:rPr>
          <w:b w:val="0"/>
          <w:i w:val="0"/>
        </w:rPr>
        <w:t xml:space="preserve">Ödünç alan borcunu erken ödeyebilir; ödeme gününden sonraki henüz işlememiş akdi faiz talep edilmez. Kararlaştırılan vadenin geçirilmesinin temerrüt sonuçları kanuna göre doğar. Temerrüt faizi </w:t>
      </w:r>
      <w:r>
        <w:rPr>
          <w:b/>
          <w:i w:val="0"/>
        </w:rPr>
        <w:t>[KANUNİ FAİZ / HUKUKEN GEÇERLİ ORAN]</w:t>
      </w:r>
      <w:r>
        <w:rPr>
          <w:b w:val="0"/>
          <w:i w:val="0"/>
        </w:rPr>
        <w:t xml:space="preserve"> olup aynı dönem için mükerrer akdi ve temerrüt faizi alınmaz.</w:t>
      </w:r>
    </w:p>
    <w:p>
      <w:pPr>
        <w:pStyle w:val="Heading1"/>
        <w:widowControl/>
      </w:pPr>
      <w:r>
        <w:rPr>
          <w:b/>
          <w:i w:val="0"/>
        </w:rPr>
        <w:t>5. Teminat ve belgeler</w:t>
      </w:r>
    </w:p>
    <w:p>
      <w:pPr>
        <w:widowControl/>
        <w:jc w:val="both"/>
      </w:pPr>
      <w:r>
        <w:rPr>
          <w:b w:val="0"/>
          <w:i w:val="0"/>
        </w:rPr>
        <w:t xml:space="preserve">Bu sözleşmede teminat </w:t>
      </w:r>
      <w:r>
        <w:rPr>
          <w:b/>
          <w:i w:val="0"/>
        </w:rPr>
        <w:t>[YOKTUR / AYRI BELGEDE TANIMLANMIŞTIR]</w:t>
      </w:r>
      <w:r>
        <w:rPr>
          <w:b w:val="0"/>
          <w:i w:val="0"/>
        </w:rPr>
        <w:t>. Kefalet kararlaştırılmışsa kefilin zorunlu el yazısı ve eş rızası koşulları ayrı kefalet belgesinde tamamlanacaktır; aşağıya yalnız kefil imzası eklenmesi yeterli değildir. Borcun tamamı ödenince alacaklı ödeme belgesi verecek ve aynı borca ait teminat belgelerini koşulları oluşmuşsa iade edecektir.</w:t>
      </w:r>
    </w:p>
    <w:p>
      <w:pPr>
        <w:pStyle w:val="Heading1"/>
        <w:keepNext/>
        <w:widowControl/>
      </w:pPr>
      <w:r>
        <w:rPr>
          <w:b/>
          <w:i w:val="0"/>
        </w:rPr>
        <w:t>6. Bildirim ve nüshalar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Bildirimler tarafların yukarıdaki adreslerine ve </w:t>
      </w:r>
      <w:r>
        <w:rPr>
          <w:b/>
          <w:i w:val="0"/>
        </w:rPr>
        <w:t>[KEP / İLETİŞİM ADRESİ]</w:t>
      </w:r>
      <w:r>
        <w:rPr>
          <w:b w:val="0"/>
          <w:i w:val="0"/>
        </w:rPr>
        <w:t xml:space="preserve"> üzerinden yapılır; kanunen özel şekil gereken bildirimlerde o şekle uyulur. Sözleşme, ödeme planı ve fiili teslim belgesiyle birlikte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nüsha imzalanmıştır.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Ödünç veren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Ödünç alan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Para transfer dekontu</w:t>
      </w:r>
    </w:p>
    <w:p>
      <w:pPr>
        <w:keepNext/>
        <w:widowControl/>
      </w:pPr>
      <w:r>
        <w:rPr>
          <w:b w:val="0"/>
          <w:i w:val="0"/>
        </w:rPr>
        <w:t>2. Ödeme planı</w:t>
      </w:r>
    </w:p>
    <w:p>
      <w:pPr>
        <w:widowControl/>
      </w:pPr>
      <w:r>
        <w:rPr>
          <w:b w:val="0"/>
          <w:i w:val="0"/>
        </w:rPr>
        <w:t>3. Varsa usulüne uygun ayrı teminat belgesi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Ödünç Para Sözleşmesi</dc:title>
  <dc:subject>Sözleşmeler ve Borç İlişkileri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