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[KARARI VEREN VALİLİĞİN BULUNDUĞU YER]</w:t>
      </w:r>
      <w:r>
        <w:rPr>
          <w:b/>
          <w:i w:val="0"/>
        </w:rPr>
        <w:t xml:space="preserve"> NÖBETÇİ İDARE MAHKEMESİ BAŞKANLIĞINA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 SOYAD, UYRUK, DOĞUM TARİHİ, PASAPORT/YKN]</w:t>
      </w:r>
    </w:p>
    <w:p>
      <w:pPr>
        <w:widowControl/>
        <w:spacing w:after="80"/>
      </w:pPr>
      <w:r>
        <w:rPr>
          <w:b/>
        </w:rPr>
        <w:t xml:space="preserve">Tebligat adresi : </w:t>
      </w:r>
      <w:r>
        <w:t>[ADRES; GÖZETİM VARSA GGM ADI VE ADRESİ]</w:t>
      </w:r>
    </w:p>
    <w:p>
      <w:pPr>
        <w:widowControl/>
        <w:spacing w:after="80"/>
      </w:pPr>
      <w:r>
        <w:rPr>
          <w:b/>
        </w:rPr>
        <w:t xml:space="preserve">Varsa vekili : </w:t>
      </w:r>
      <w:r>
        <w:t>[AVUKAT ADI, ADRES/UETS]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[KARARI VEREN İL] VALİLİĞİ</w:t>
      </w:r>
    </w:p>
    <w:p>
      <w:pPr>
        <w:widowControl/>
        <w:spacing w:after="80"/>
      </w:pPr>
      <w:r>
        <w:rPr>
          <w:b/>
        </w:rPr>
        <w:t xml:space="preserve">Dava konusu : </w:t>
      </w:r>
      <w:r>
        <w:t>[TARİH/SAYI] sınır dışı etme kararının iptali</w:t>
      </w:r>
    </w:p>
    <w:p>
      <w:pPr>
        <w:widowControl/>
        <w:spacing w:after="80"/>
      </w:pPr>
      <w:r>
        <w:rPr>
          <w:b/>
        </w:rPr>
        <w:t xml:space="preserve">Tebliğ / dava açılışı : </w:t>
      </w:r>
      <w:r>
        <w:t>[TEBLİĞ TARİHİ/YÖNTEMİ] / [DAVA TARİHİ]</w:t>
      </w:r>
    </w:p>
    <w:p>
      <w:pPr>
        <w:pStyle w:val="Heading1"/>
        <w:widowControl/>
      </w:pPr>
      <w:r>
        <w:rPr>
          <w:b/>
          <w:i w:val="0"/>
        </w:rPr>
        <w:t>I. KARAR VE SÜRE</w:t>
      </w:r>
    </w:p>
    <w:p>
      <w:pPr>
        <w:widowControl/>
        <w:jc w:val="both"/>
      </w:pPr>
      <w:r>
        <w:rPr>
          <w:b w:val="0"/>
          <w:i w:val="0"/>
        </w:rPr>
        <w:t>1. Davacı hakkında 6458 sayılı Kanun m. 54/</w:t>
      </w:r>
      <w:r>
        <w:rPr>
          <w:b/>
          <w:i w:val="0"/>
        </w:rPr>
        <w:t>[BENT]</w:t>
      </w:r>
      <w:r>
        <w:rPr>
          <w:b w:val="0"/>
          <w:i w:val="0"/>
        </w:rPr>
        <w:t xml:space="preserve"> gerekçesiyle </w:t>
      </w:r>
      <w:r>
        <w:rPr>
          <w:b/>
          <w:i w:val="0"/>
        </w:rPr>
        <w:t>[TARİH/SAYI]</w:t>
      </w:r>
      <w:r>
        <w:rPr>
          <w:b w:val="0"/>
          <w:i w:val="0"/>
        </w:rPr>
        <w:t xml:space="preserve"> sınır dışı kararı alınmıştır. Kararın tebliğ biçimi, tercüman ve bilgilendirme durumu </w:t>
      </w:r>
      <w:r>
        <w:rPr>
          <w:b/>
          <w:i w:val="0"/>
        </w:rPr>
        <w:t>[SOMUT BİLGİLER]</w:t>
      </w:r>
      <w:r>
        <w:rPr>
          <w:b w:val="0"/>
          <w:i w:val="0"/>
        </w:rPr>
        <w:t xml:space="preserve">dir. Dava, m. 53 uyarınca tebliğden itibaren yedi günlük süre içinde açılmaktadır. Tebliğe ilişkin bir uyuşmazlık varsa </w:t>
      </w:r>
      <w:r>
        <w:rPr>
          <w:b/>
          <w:i w:val="0"/>
        </w:rPr>
        <w:t>[TEBLİĞ EKSİKLİĞİ/GERÇEK ÖĞRENME VE DELİL]</w:t>
      </w:r>
      <w:r>
        <w:rPr>
          <w:b w:val="0"/>
          <w:i w:val="0"/>
        </w:rPr>
        <w:t xml:space="preserve"> ayrıca açıklanmıştır.</w:t>
      </w:r>
    </w:p>
    <w:p>
      <w:pPr>
        <w:pStyle w:val="Heading1"/>
        <w:widowControl/>
      </w:pPr>
      <w:r>
        <w:rPr>
          <w:b/>
          <w:i w:val="0"/>
        </w:rPr>
        <w:t>II. OLAYLAR VE KARARIN DAYANAĞINA İTİRAZ</w:t>
      </w:r>
    </w:p>
    <w:p>
      <w:pPr>
        <w:widowControl/>
        <w:jc w:val="both"/>
      </w:pPr>
      <w:r>
        <w:rPr>
          <w:b w:val="0"/>
          <w:i w:val="0"/>
        </w:rPr>
        <w:t xml:space="preserve">2. Davacının Türkiye’ye giriş tarihi, mevcut/önceki kalış statüsü ve idari süreç </w:t>
      </w:r>
      <w:r>
        <w:rPr>
          <w:b/>
          <w:i w:val="0"/>
        </w:rPr>
        <w:t>[KRONOLOJİ]</w:t>
      </w:r>
      <w:r>
        <w:rPr>
          <w:b w:val="0"/>
          <w:i w:val="0"/>
        </w:rPr>
        <w:t xml:space="preserve"> şeklindedir. Karara dayanak gösterilen </w:t>
      </w:r>
      <w:r>
        <w:rPr>
          <w:b/>
          <w:i w:val="0"/>
        </w:rPr>
        <w:t>[OLGU]</w:t>
      </w:r>
      <w:r>
        <w:rPr>
          <w:b w:val="0"/>
          <w:i w:val="0"/>
        </w:rPr>
        <w:t xml:space="preserve"> bakımından gerçek durum </w:t>
      </w:r>
      <w:r>
        <w:rPr>
          <w:b/>
          <w:i w:val="0"/>
        </w:rPr>
        <w:t>[SOMUT OLAY]</w:t>
      </w:r>
      <w:r>
        <w:rPr>
          <w:b w:val="0"/>
          <w:i w:val="0"/>
        </w:rPr>
        <w:t xml:space="preserve"> olup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ortaya konmaktadır. </w:t>
      </w:r>
      <w:r>
        <w:rPr>
          <w:b/>
          <w:i w:val="0"/>
        </w:rPr>
        <w:t>[SOMUT HATA/EKSİK İNCELEME]</w:t>
      </w:r>
      <w:r>
        <w:rPr>
          <w:b w:val="0"/>
          <w:i w:val="0"/>
        </w:rPr>
        <w:t xml:space="preserve"> nedeniyle m. 54/</w:t>
      </w:r>
      <w:r>
        <w:rPr>
          <w:b/>
          <w:i w:val="0"/>
        </w:rPr>
        <w:t>[BENT]</w:t>
      </w:r>
      <w:r>
        <w:rPr>
          <w:b w:val="0"/>
          <w:i w:val="0"/>
        </w:rPr>
        <w:t xml:space="preserve"> koşulunun oluşmadığı ileri sürülmektedir.</w:t>
      </w:r>
    </w:p>
    <w:p>
      <w:pPr>
        <w:widowControl/>
        <w:jc w:val="both"/>
      </w:pPr>
      <w:r>
        <w:rPr>
          <w:b w:val="0"/>
          <w:i w:val="0"/>
        </w:rPr>
        <w:t xml:space="preserve">3. Kamu düzeni/güvenliği gerekçesi varsa idarenin hangi güncel, bireysel ve somut olguya dayandığının işlem dosyasından belirlenmesi gerekir. Davacı hakkındaki </w:t>
      </w:r>
      <w:r>
        <w:rPr>
          <w:b/>
          <w:i w:val="0"/>
        </w:rPr>
        <w:t>[SORUŞTURMA/KARAR/KAYIT]</w:t>
      </w:r>
      <w:r>
        <w:rPr>
          <w:b w:val="0"/>
          <w:i w:val="0"/>
        </w:rPr>
        <w:t xml:space="preserve">ın gerçek kapsamı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açıklanmış; yalnız </w:t>
      </w:r>
      <w:r>
        <w:rPr>
          <w:b/>
          <w:i w:val="0"/>
        </w:rPr>
        <w:t>[İDDİA/KOD]</w:t>
      </w:r>
      <w:r>
        <w:rPr>
          <w:b w:val="0"/>
          <w:i w:val="0"/>
        </w:rPr>
        <w:t xml:space="preserve">dan sonuç çıkarılmasına ilişkin itiraz </w:t>
      </w:r>
      <w:r>
        <w:rPr>
          <w:b/>
          <w:i w:val="0"/>
        </w:rPr>
        <w:t>[GEREKÇE]</w:t>
      </w:r>
      <w:r>
        <w:rPr>
          <w:b w:val="0"/>
          <w:i w:val="0"/>
        </w:rPr>
        <w:t xml:space="preserve"> olarak sunulmuştur. Bu bölüm yalnız böyle bir gerekçe varsa tutulur.</w:t>
      </w:r>
    </w:p>
    <w:p>
      <w:pPr>
        <w:pStyle w:val="Heading1"/>
        <w:widowControl/>
      </w:pPr>
      <w:r>
        <w:rPr>
          <w:b/>
          <w:i w:val="0"/>
        </w:rPr>
        <w:t>III. GERİ GÖNDERME YASAĞI VE KİŞİSEL DURUM — VARSA</w:t>
      </w:r>
    </w:p>
    <w:p>
      <w:pPr>
        <w:widowControl/>
        <w:jc w:val="both"/>
      </w:pPr>
      <w:r>
        <w:rPr>
          <w:b w:val="0"/>
          <w:i w:val="0"/>
        </w:rPr>
        <w:t xml:space="preserve">4. Gönderilmesi öngörülen ülke </w:t>
      </w:r>
      <w:r>
        <w:rPr>
          <w:b/>
          <w:i w:val="0"/>
        </w:rPr>
        <w:t>[ÜLKE]</w:t>
      </w:r>
      <w:r>
        <w:rPr>
          <w:b w:val="0"/>
          <w:i w:val="0"/>
        </w:rPr>
        <w:t xml:space="preserve">dir. 6458 m. 4 ve 55 yönünden kişiye özgü risk </w:t>
      </w:r>
      <w:r>
        <w:rPr>
          <w:b/>
          <w:i w:val="0"/>
        </w:rPr>
        <w:t>[TEHDİT, SAĞLIK, İŞKENCE/KÖTÜ MUAMELE RİSKİ VEYA DİĞER SOMUT NEDEN]</w:t>
      </w:r>
      <w:r>
        <w:rPr>
          <w:b w:val="0"/>
          <w:i w:val="0"/>
        </w:rPr>
        <w:t xml:space="preserve">dir. Riskin kaynağı, zamanı ve davacıyla ilişkisi </w:t>
      </w:r>
      <w:r>
        <w:rPr>
          <w:b/>
          <w:i w:val="0"/>
        </w:rPr>
        <w:t>[AYRINTI]</w:t>
      </w:r>
      <w:r>
        <w:rPr>
          <w:b w:val="0"/>
          <w:i w:val="0"/>
        </w:rPr>
        <w:t xml:space="preserve">; bunu destekleyen bireysel belge ve güvenilir ülke bilgisi </w:t>
      </w:r>
      <w:r>
        <w:rPr>
          <w:b/>
          <w:i w:val="0"/>
        </w:rPr>
        <w:t>[DELİL]</w:t>
      </w:r>
      <w:r>
        <w:rPr>
          <w:b w:val="0"/>
          <w:i w:val="0"/>
        </w:rPr>
        <w:t>dir. Yalnız genel ülke koşulu veya varsayım yerine davacının durumu açıklanmaktadır.</w:t>
      </w:r>
    </w:p>
    <w:p>
      <w:pPr>
        <w:widowControl/>
        <w:jc w:val="both"/>
      </w:pPr>
      <w:r>
        <w:rPr>
          <w:b w:val="0"/>
          <w:i w:val="0"/>
        </w:rPr>
        <w:t xml:space="preserve">5. Türkiye’deki aile hayatı ve çocuğun üstün yararı bakımından </w:t>
      </w:r>
      <w:r>
        <w:rPr>
          <w:b/>
          <w:i w:val="0"/>
        </w:rPr>
        <w:t>[EŞ/ÇOCUK, STATÜ, BAKIM, EĞİTİM VE SAĞLIK]</w:t>
      </w:r>
      <w:r>
        <w:rPr>
          <w:b w:val="0"/>
          <w:i w:val="0"/>
        </w:rPr>
        <w:t xml:space="preserve"> bilgileri ektedir. Bu bağların kararla etkilenmesi ve ölçülülük değerlendirmesindeki eksiklik </w:t>
      </w:r>
      <w:r>
        <w:rPr>
          <w:b/>
          <w:i w:val="0"/>
        </w:rPr>
        <w:t>[SOMUT SONUÇ]</w:t>
      </w:r>
      <w:r>
        <w:rPr>
          <w:b w:val="0"/>
          <w:i w:val="0"/>
        </w:rPr>
        <w:t>tur. Mevcut olmayan aile, sağlık veya risk olguları metne eklenmemiştir.</w:t>
      </w:r>
    </w:p>
    <w:p>
      <w:pPr>
        <w:pStyle w:val="Heading1"/>
        <w:widowControl/>
      </w:pPr>
      <w:r>
        <w:rPr>
          <w:b/>
          <w:i w:val="0"/>
        </w:rPr>
        <w:t>IV. YARGILAMA SÜRESİNCE KANUNİ GÜVENCE</w:t>
      </w:r>
    </w:p>
    <w:p>
      <w:pPr>
        <w:widowControl/>
        <w:jc w:val="both"/>
      </w:pPr>
      <w:r>
        <w:rPr>
          <w:b w:val="0"/>
          <w:i w:val="0"/>
        </w:rPr>
        <w:t xml:space="preserve">6. Davacı sınır dışı edilmeye rıza göstermemektedir. 6458 m. 53/3 gereğince dava açma süresi içinde ve yargılama sonuçlanıncaya kadar sınır dışı edilmeme güvencesinin gözetilmesi için dava açılışı kararı veren makama ayrıca bildirilmektedir. </w:t>
      </w:r>
      <w:r>
        <w:rPr>
          <w:b/>
          <w:i w:val="0"/>
        </w:rPr>
        <w:t>[BİLDİRİM TARİHİ VE ALINDI]</w:t>
      </w:r>
      <w:r>
        <w:rPr>
          <w:b w:val="0"/>
          <w:i w:val="0"/>
        </w:rPr>
        <w:t xml:space="preserve"> bilgisi sunulacaktır.</w:t>
      </w:r>
    </w:p>
    <w:p>
      <w:pPr>
        <w:pStyle w:val="Heading1"/>
        <w:widowControl/>
      </w:pPr>
      <w:r>
        <w:rPr>
          <w:b/>
          <w:i w:val="0"/>
        </w:rPr>
        <w:t>DELİLLER / HUKUKİ NEDENLER</w:t>
      </w:r>
    </w:p>
    <w:p>
      <w:pPr>
        <w:widowControl/>
        <w:jc w:val="both"/>
      </w:pPr>
      <w:r>
        <w:rPr>
          <w:b w:val="0"/>
          <w:i w:val="0"/>
        </w:rPr>
        <w:t xml:space="preserve">Sınır dışı kararı, tebliğ ve tercüman kaydı, pasaport/izin belgeleri, </w:t>
      </w:r>
      <w:r>
        <w:rPr>
          <w:b/>
          <w:i w:val="0"/>
        </w:rPr>
        <w:t>[SOMUT İTİRAZ BELGELERİ]</w:t>
      </w:r>
      <w:r>
        <w:rPr>
          <w:b w:val="0"/>
          <w:i w:val="0"/>
        </w:rPr>
        <w:t>, varsa aile/sağlık/risk belgeleri, işlem dosyası; 6458 m. 4,53,54,55 ve 2577 sayılı Kanunun uygulanabilir hükümleri.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[TARİH/SAYI]</w:t>
      </w:r>
      <w:r>
        <w:rPr>
          <w:b w:val="0"/>
          <w:i w:val="0"/>
        </w:rPr>
        <w:t xml:space="preserve"> sınır dışı etme kararının iptaline; tüm dayanak ve tebliğ kayıtlarıyla işlem dosyasının getirtilmesine; m. 53/3 kanuni güvencesi gözetilerek dava bilgisinin ilgili idareye iletilmesine; yargılama giderleri ve vekille temsil varsa kanuni vekâlet ücretinin davalıya yükletilmesine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Davacı / yasal temsilci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Sınır dışı kararı</w:t>
      </w:r>
    </w:p>
    <w:p>
      <w:pPr>
        <w:widowControl/>
      </w:pPr>
      <w:r>
        <w:rPr>
          <w:b w:val="0"/>
          <w:i w:val="0"/>
        </w:rPr>
        <w:t>2. Tebliğ/tercüman/bilgilendirme belgesi</w:t>
      </w:r>
    </w:p>
    <w:p>
      <w:pPr>
        <w:widowControl/>
      </w:pPr>
      <w:r>
        <w:rPr>
          <w:b w:val="0"/>
          <w:i w:val="0"/>
        </w:rPr>
        <w:t>3. Pasaport ve statü belgeleri</w:t>
      </w:r>
    </w:p>
    <w:p>
      <w:pPr>
        <w:widowControl/>
      </w:pPr>
      <w:r>
        <w:rPr>
          <w:b w:val="0"/>
          <w:i w:val="0"/>
        </w:rPr>
        <w:t>4. İşlem dayanağını çürüten belgeler</w:t>
      </w:r>
    </w:p>
    <w:p>
      <w:pPr>
        <w:widowControl/>
      </w:pPr>
      <w:r>
        <w:rPr>
          <w:b w:val="0"/>
          <w:i w:val="0"/>
        </w:rPr>
        <w:t>5. Varsa kişisel risk ve sağlık belgeleri</w:t>
      </w:r>
    </w:p>
    <w:p>
      <w:pPr>
        <w:widowControl/>
      </w:pPr>
      <w:r>
        <w:rPr>
          <w:b w:val="0"/>
          <w:i w:val="0"/>
        </w:rPr>
        <w:t>6. Aile/çocuk belgeleri</w:t>
      </w:r>
    </w:p>
    <w:p>
      <w:pPr>
        <w:widowControl/>
      </w:pPr>
      <w:r>
        <w:rPr>
          <w:b w:val="0"/>
          <w:i w:val="0"/>
        </w:rPr>
        <w:t>7. Dava açılışının idareye bildirim alındısı</w:t>
      </w:r>
    </w:p>
    <w:p>
      <w:pPr>
        <w:widowControl/>
      </w:pPr>
      <w:r>
        <w:rPr>
          <w:b w:val="0"/>
          <w:i w:val="0"/>
        </w:rPr>
        <w:t>8.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Sınır Dışı Kararının İptali Dava Dilekçesi</dc:title>
  <dc:subject>Yabancılar ve Vatandaşlık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