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BELİRLİ UYUŞMAZLIĞA İLİŞKİN SULH PROTOKOLÜ</w:t>
      </w:r>
    </w:p>
    <w:p>
      <w:pPr>
        <w:widowControl/>
        <w:spacing w:after="60"/>
      </w:pPr>
      <w:r>
        <w:rPr>
          <w:b/>
        </w:rPr>
        <w:t xml:space="preserve">Birinci taraf : </w:t>
      </w:r>
      <w:r>
        <w:t>[AD SOYAD / UNVAN, T.C. / VERGİ NO, ADRES]</w:t>
      </w:r>
    </w:p>
    <w:p>
      <w:pPr>
        <w:widowControl/>
        <w:spacing w:after="60"/>
      </w:pPr>
      <w:r>
        <w:rPr>
          <w:b/>
        </w:rPr>
        <w:t xml:space="preserve">İkinci taraf : </w:t>
      </w:r>
      <w:r>
        <w:t>[AD SOYAD / UNVAN, T.C. / VERGİ NO, ADRES]</w:t>
      </w:r>
    </w:p>
    <w:p>
      <w:pPr>
        <w:widowControl/>
        <w:spacing w:after="60"/>
      </w:pPr>
      <w:r>
        <w:rPr>
          <w:b/>
        </w:rPr>
        <w:t xml:space="preserve">İmza tarihi ve yeri : </w:t>
      </w:r>
      <w:r>
        <w:t>[TARİH] / [YER]</w:t>
      </w:r>
    </w:p>
    <w:p>
      <w:pPr>
        <w:widowControl/>
        <w:spacing w:after="60"/>
      </w:pPr>
      <w:r>
        <w:rPr>
          <w:b/>
        </w:rPr>
        <w:t xml:space="preserve">Uyuşmazlığın konusu : </w:t>
      </w:r>
      <w:r>
        <w:t>[İLİŞKİ, TALEPLER VE TARİHLER]</w:t>
      </w:r>
    </w:p>
    <w:p>
      <w:pPr>
        <w:widowControl/>
        <w:spacing w:after="60"/>
      </w:pPr>
      <w:r>
        <w:rPr>
          <w:b/>
        </w:rPr>
        <w:t xml:space="preserve">Dava / takip varsa : </w:t>
      </w:r>
      <w:r>
        <w:t>[MAHKEME / İCRA DAİRESİ, DOSYA NO]</w:t>
      </w:r>
    </w:p>
    <w:p>
      <w:pPr>
        <w:pStyle w:val="Heading1"/>
        <w:widowControl/>
      </w:pPr>
      <w:r>
        <w:rPr>
          <w:b/>
          <w:i w:val="0"/>
        </w:rPr>
        <w:t>1. Sulhun sınırı</w:t>
      </w:r>
    </w:p>
    <w:p>
      <w:pPr>
        <w:widowControl/>
        <w:jc w:val="both"/>
      </w:pPr>
      <w:r>
        <w:rPr>
          <w:b w:val="0"/>
          <w:i w:val="0"/>
        </w:rPr>
        <w:t xml:space="preserve">Taraflar, </w:t>
      </w:r>
      <w:r>
        <w:rPr>
          <w:b/>
          <w:i w:val="0"/>
        </w:rPr>
        <w:t>[SOMUT UYUŞMAZLIK]</w:t>
      </w:r>
      <w:r>
        <w:rPr>
          <w:b w:val="0"/>
          <w:i w:val="0"/>
        </w:rPr>
        <w:t xml:space="preserve"> nedeniyle ileri sürülen </w:t>
      </w:r>
      <w:r>
        <w:rPr>
          <w:b/>
          <w:i w:val="0"/>
        </w:rPr>
        <w:t>[TALEP VE KARŞI TALEP]</w:t>
      </w:r>
      <w:r>
        <w:rPr>
          <w:b w:val="0"/>
          <w:i w:val="0"/>
        </w:rPr>
        <w:t xml:space="preserve"> üzerinde aşağıdaki karşılıklı edimlerle anlaşmıştır. Sulh yalnız bu uyuşmazlığı kapsar. Kapsam dışı hak ve talepler </w:t>
      </w:r>
      <w:r>
        <w:rPr>
          <w:b/>
          <w:i w:val="0"/>
        </w:rPr>
        <w:t>[AÇIK LİSTE / YOK]</w:t>
      </w:r>
      <w:r>
        <w:rPr>
          <w:b w:val="0"/>
          <w:i w:val="0"/>
        </w:rPr>
        <w:t xml:space="preserve"> olarak belirlenmiştir.</w:t>
      </w:r>
    </w:p>
    <w:p>
      <w:pPr>
        <w:pStyle w:val="Heading1"/>
        <w:widowControl/>
      </w:pPr>
      <w:r>
        <w:rPr>
          <w:b/>
          <w:i w:val="0"/>
        </w:rPr>
        <w:t>2. Karşılıklı edimler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Yükümlü taraf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Edim / tutar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 tarih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İfa yeri ve kanıtı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[ÖDEME / TESLİM / YAPILACAK İŞ]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[IBAN / TUTANAK]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[KARŞI EDİM]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İbra ve dava işlemlerinin zamanı</w:t>
      </w:r>
    </w:p>
    <w:p>
      <w:pPr>
        <w:widowControl/>
        <w:jc w:val="both"/>
      </w:pPr>
      <w:r>
        <w:rPr>
          <w:b w:val="0"/>
          <w:i w:val="0"/>
        </w:rPr>
        <w:t xml:space="preserve">Tarafların uyuşmazlık kapsamındaki karşılıklı ibra beyanları </w:t>
      </w:r>
      <w:r>
        <w:rPr>
          <w:b/>
          <w:i w:val="0"/>
        </w:rPr>
        <w:t>[EDİMLERİN TAM VE GEREĞİ GİBİ İFASINDAN SONRA / AÇIKÇA SEÇİLEN BAŞKA KOŞULDA]</w:t>
      </w:r>
      <w:r>
        <w:rPr>
          <w:b w:val="0"/>
          <w:i w:val="0"/>
        </w:rPr>
        <w:t xml:space="preserve"> hüküm doğurur. Henüz yapılmamış ödeme yapılmış kabul edilmez. Dava varsa mahkemeye sunulacak ortak beyanın içeriği </w:t>
      </w:r>
      <w:r>
        <w:rPr>
          <w:b/>
          <w:i w:val="0"/>
        </w:rPr>
        <w:t>[SULHÜN TESPİTİ / SULHE GÖRE KARAR / KARAR VERİLMESİNE YER OLMADIĞI TALEBİ]</w:t>
      </w:r>
      <w:r>
        <w:rPr>
          <w:b w:val="0"/>
          <w:i w:val="0"/>
        </w:rPr>
        <w:t xml:space="preserve"> ve zamanı </w:t>
      </w:r>
      <w:r>
        <w:rPr>
          <w:b/>
          <w:i w:val="0"/>
        </w:rPr>
        <w:t>[TARİH/KOŞUL]</w:t>
      </w:r>
      <w:r>
        <w:rPr>
          <w:b w:val="0"/>
          <w:i w:val="0"/>
        </w:rPr>
        <w:t xml:space="preserve"> olarak belirlenmiştir.</w:t>
      </w:r>
    </w:p>
    <w:p>
      <w:pPr>
        <w:pStyle w:val="Heading1"/>
        <w:widowControl/>
      </w:pPr>
      <w:r>
        <w:rPr>
          <w:b/>
          <w:i w:val="0"/>
        </w:rPr>
        <w:t>4. Gider, vekâlet ücreti ve takip</w:t>
      </w:r>
    </w:p>
    <w:p>
      <w:pPr>
        <w:widowControl/>
        <w:jc w:val="both"/>
      </w:pPr>
      <w:r>
        <w:rPr>
          <w:b w:val="0"/>
          <w:i w:val="0"/>
        </w:rPr>
        <w:t xml:space="preserve">Dava harç/giderleri </w:t>
      </w:r>
      <w:r>
        <w:rPr>
          <w:b/>
          <w:i w:val="0"/>
        </w:rPr>
        <w:t>[DAĞILIM]</w:t>
      </w:r>
      <w:r>
        <w:rPr>
          <w:b w:val="0"/>
          <w:i w:val="0"/>
        </w:rPr>
        <w:t xml:space="preserve">, karşı vekâlet ücreti </w:t>
      </w:r>
      <w:r>
        <w:rPr>
          <w:b/>
          <w:i w:val="0"/>
        </w:rPr>
        <w:t>[DÜZENLEME]</w:t>
      </w:r>
      <w:r>
        <w:rPr>
          <w:b w:val="0"/>
          <w:i w:val="0"/>
        </w:rPr>
        <w:t xml:space="preserve">, tarafların kendi avukatına borçları </w:t>
      </w:r>
      <w:r>
        <w:rPr>
          <w:b/>
          <w:i w:val="0"/>
        </w:rPr>
        <w:t>[DÜZENLEME]</w:t>
      </w:r>
      <w:r>
        <w:rPr>
          <w:b w:val="0"/>
          <w:i w:val="0"/>
        </w:rPr>
        <w:t xml:space="preserve"> şeklindedir. Avukatın kendisine ait hakları, taraflar arasında yapılan bu anlaşmayla onun iradesi dışında ortadan kaldırılmış sayılmaz. İcra dosyası kapanışı ve hacizlerin kaldırılması için </w:t>
      </w:r>
      <w:r>
        <w:rPr>
          <w:b/>
          <w:i w:val="0"/>
        </w:rPr>
        <w:t>[KİM, NE ZAMAN, HANGİ İŞLEM]</w:t>
      </w:r>
      <w:r>
        <w:rPr>
          <w:b w:val="0"/>
          <w:i w:val="0"/>
        </w:rPr>
        <w:t xml:space="preserve"> yapılacaktır.</w:t>
      </w:r>
    </w:p>
    <w:p>
      <w:pPr>
        <w:pStyle w:val="Heading1"/>
        <w:widowControl/>
      </w:pPr>
      <w:r>
        <w:rPr>
          <w:b/>
          <w:i w:val="0"/>
        </w:rPr>
        <w:t>5. İhlal ve ifa</w:t>
      </w:r>
    </w:p>
    <w:p>
      <w:pPr>
        <w:widowControl/>
        <w:jc w:val="both"/>
      </w:pPr>
      <w:r>
        <w:rPr>
          <w:b w:val="0"/>
          <w:i w:val="0"/>
        </w:rPr>
        <w:t xml:space="preserve">Bir edim süresinde yerine getirilmezse diğer taraf </w:t>
      </w:r>
      <w:r>
        <w:rPr>
          <w:b/>
          <w:i w:val="0"/>
        </w:rPr>
        <w:t>[YÖNTEM]</w:t>
      </w:r>
      <w:r>
        <w:rPr>
          <w:b w:val="0"/>
          <w:i w:val="0"/>
        </w:rPr>
        <w:t xml:space="preserve"> ile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günlük uygun süre verir; kanunen süre verilmesine gerek olmayan hâller saklıdır. Süre sonunda uygulanacak sonuç </w:t>
      </w:r>
      <w:r>
        <w:rPr>
          <w:b/>
          <w:i w:val="0"/>
        </w:rPr>
        <w:t>[İFA TALEBİ / SOMUT GEÇERLİ DÖNME DÜZENİ]</w:t>
      </w:r>
      <w:r>
        <w:rPr>
          <w:b w:val="0"/>
          <w:i w:val="0"/>
        </w:rPr>
        <w:t>dir. Önceden yapılan ödemeler her durumda hesaba katılır; aynı zarar veya borç iki kez tahsil edilmez.</w:t>
      </w:r>
    </w:p>
    <w:p>
      <w:pPr>
        <w:pStyle w:val="Heading1"/>
        <w:keepNext/>
        <w:widowControl/>
      </w:pPr>
      <w:r>
        <w:rPr>
          <w:b/>
          <w:i w:val="0"/>
        </w:rPr>
        <w:t>6. Belgenin hukuki niteliği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Bu metin taraflar arasında özel sulh sözleşmesidir. Mahkeme içi sulh veya arabuluculuk anlaşma belgesi niteliği, ancak ilgili kanuni usuller yerine getirilirse doğar. Gerekli özel şekil, izin ve temsil yetkileri ayrıca tamamlanacaktır.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düzenlenmiştir.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Birinci taraf / sulhe özel yetkili vekili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İkinci taraf / sulhe özel yetkili vekili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Uyuşmazlık ve hesap dökümü</w:t>
      </w:r>
    </w:p>
    <w:p>
      <w:pPr>
        <w:keepNext/>
        <w:widowControl/>
      </w:pPr>
      <w:r>
        <w:rPr>
          <w:b w:val="0"/>
          <w:i w:val="0"/>
        </w:rPr>
        <w:t>2. İfa takvimi</w:t>
      </w:r>
    </w:p>
    <w:p>
      <w:pPr>
        <w:widowControl/>
      </w:pPr>
      <w:r>
        <w:rPr>
          <w:b w:val="0"/>
          <w:i w:val="0"/>
        </w:rPr>
        <w:t>3. Varsa özel yetkili vekâletname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Sulh Protokolü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