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[YETKİLİ YER]</w:t>
      </w:r>
      <w:r>
        <w:rPr>
          <w:b/>
          <w:i w:val="0"/>
        </w:rPr>
        <w:t xml:space="preserve"> NÖBETÇİ İDARE MAHKEMESİ BAŞKANLIĞINA</w:t>
      </w:r>
    </w:p>
    <w:p>
      <w:pPr>
        <w:widowControl/>
        <w:spacing w:after="80"/>
      </w:pPr>
      <w:r>
        <w:rPr>
          <w:b/>
        </w:rPr>
        <w:t xml:space="preserve">Davacı : </w:t>
      </w:r>
      <w:r>
        <w:t>[AD SOYAD/UNVAN, T.C./VERGİ NO, ADRES]</w:t>
      </w:r>
    </w:p>
    <w:p>
      <w:pPr>
        <w:widowControl/>
        <w:spacing w:after="80"/>
      </w:pPr>
      <w:r>
        <w:rPr>
          <w:b/>
        </w:rPr>
        <w:t xml:space="preserve">Varsa vekili : </w:t>
      </w:r>
      <w:r>
        <w:t>[AVUKAT ADI, ADRES/UETS]</w:t>
      </w:r>
    </w:p>
    <w:p>
      <w:pPr>
        <w:widowControl/>
        <w:spacing w:after="80"/>
      </w:pPr>
      <w:r>
        <w:rPr>
          <w:b/>
        </w:rPr>
        <w:t xml:space="preserve">Davalı idare : </w:t>
      </w:r>
      <w:r>
        <w:t>[SORUMLU İDARE, ADRES]</w:t>
      </w:r>
    </w:p>
    <w:p>
      <w:pPr>
        <w:widowControl/>
        <w:spacing w:after="80"/>
      </w:pPr>
      <w:r>
        <w:rPr>
          <w:b/>
        </w:rPr>
        <w:t xml:space="preserve">Dava konusu : </w:t>
      </w:r>
      <w:r>
        <w:t>[İDARİ EYLEM/İŞLEM] nedeniyle maddi ve/veya manevi tazminat</w:t>
      </w:r>
    </w:p>
    <w:p>
      <w:pPr>
        <w:widowControl/>
        <w:spacing w:after="80"/>
      </w:pPr>
      <w:r>
        <w:rPr>
          <w:b/>
        </w:rPr>
        <w:t xml:space="preserve">Dava değeri : </w:t>
      </w:r>
      <w:r>
        <w:t>[MADDİ TUTAR] TL + [MANEVİ TUTAR] TL = [TOPLAM] TL</w:t>
      </w:r>
    </w:p>
    <w:p>
      <w:pPr>
        <w:widowControl/>
        <w:spacing w:after="80"/>
      </w:pPr>
      <w:r>
        <w:rPr>
          <w:b/>
        </w:rPr>
        <w:t xml:space="preserve">Ön başvuru / ret : </w:t>
      </w:r>
      <w:r>
        <w:t>[TARİH, KAYIT] / [AÇIK RET TEBLİĞİ VEYA ZIMNİ RET TARİHİ]</w:t>
      </w:r>
    </w:p>
    <w:p>
      <w:pPr>
        <w:pStyle w:val="Heading1"/>
        <w:widowControl/>
      </w:pPr>
      <w:r>
        <w:rPr>
          <w:b/>
          <w:i w:val="0"/>
        </w:rPr>
        <w:t>I. OLAY VE İDARENİN SORUMLULUĞU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[TARİH, YER]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[İDARENİN FAALİYETİ/İŞLEMİ]</w:t>
      </w:r>
      <w:r>
        <w:rPr>
          <w:b w:val="0"/>
          <w:i w:val="0"/>
        </w:rPr>
        <w:t xml:space="preserve"> sırasında </w:t>
      </w:r>
      <w:r>
        <w:rPr>
          <w:b/>
          <w:i w:val="0"/>
        </w:rPr>
        <w:t>[OLAY]</w:t>
      </w:r>
      <w:r>
        <w:rPr>
          <w:b w:val="0"/>
          <w:i w:val="0"/>
        </w:rPr>
        <w:t xml:space="preserve"> meydana gelmiştir. İdarenin yerine getirmesi gereken hizmet </w:t>
      </w:r>
      <w:r>
        <w:rPr>
          <w:b/>
          <w:i w:val="0"/>
        </w:rPr>
        <w:t>[GÖREV VE DAYANAK]</w:t>
      </w:r>
      <w:r>
        <w:rPr>
          <w:b w:val="0"/>
          <w:i w:val="0"/>
        </w:rPr>
        <w:t xml:space="preserve"> olup </w:t>
      </w:r>
      <w:r>
        <w:rPr>
          <w:b/>
          <w:i w:val="0"/>
        </w:rPr>
        <w:t>[HİZMETİN KÖTÜ/GEÇ/HİÇ İŞLEMESİ VEYA UYGULANABİLİR KUSURSUZ SORUMLULUK NEDENİ]</w:t>
      </w:r>
      <w:r>
        <w:rPr>
          <w:b w:val="0"/>
          <w:i w:val="0"/>
        </w:rPr>
        <w:t xml:space="preserve"> somut olayda </w:t>
      </w:r>
      <w:r>
        <w:rPr>
          <w:b/>
          <w:i w:val="0"/>
        </w:rPr>
        <w:t>[OLGULAR]</w:t>
      </w:r>
      <w:r>
        <w:rPr>
          <w:b w:val="0"/>
          <w:i w:val="0"/>
        </w:rPr>
        <w:t xml:space="preserve"> ile ortaya çıkmıştır.</w:t>
      </w:r>
    </w:p>
    <w:p>
      <w:pPr>
        <w:widowControl/>
        <w:jc w:val="both"/>
      </w:pPr>
      <w:r>
        <w:rPr>
          <w:b w:val="0"/>
          <w:i w:val="0"/>
        </w:rPr>
        <w:t xml:space="preserve">2. Zararın oluşumu ve idari faaliyet arasındaki nedensellik </w:t>
      </w:r>
      <w:r>
        <w:rPr>
          <w:b/>
          <w:i w:val="0"/>
        </w:rPr>
        <w:t>[OLAY ZİNCİRİ]</w:t>
      </w:r>
      <w:r>
        <w:rPr>
          <w:b w:val="0"/>
          <w:i w:val="0"/>
        </w:rPr>
        <w:t xml:space="preserve"> şeklindedir. Üçüncü kişinin fiili, davacının davranışı veya mücbir sebep iddiası bakımından mevcut bilgiler </w:t>
      </w:r>
      <w:r>
        <w:rPr>
          <w:b/>
          <w:i w:val="0"/>
        </w:rPr>
        <w:t>[BELGELİ AÇIKLAMA]</w:t>
      </w:r>
      <w:r>
        <w:rPr>
          <w:b w:val="0"/>
          <w:i w:val="0"/>
        </w:rPr>
        <w:t xml:space="preserve">dır. </w:t>
      </w:r>
      <w:r>
        <w:rPr>
          <w:b/>
          <w:i w:val="0"/>
        </w:rPr>
        <w:t>[HASTANE/KEŞİF/TEKNİK RAPOR]</w:t>
      </w:r>
      <w:r>
        <w:rPr>
          <w:b w:val="0"/>
          <w:i w:val="0"/>
        </w:rPr>
        <w:t xml:space="preserve"> olay ve zarar bağlantısını desteklemektedir.</w:t>
      </w:r>
    </w:p>
    <w:p>
      <w:pPr>
        <w:pStyle w:val="Heading1"/>
        <w:widowControl/>
      </w:pPr>
      <w:r>
        <w:rPr>
          <w:b/>
          <w:i w:val="0"/>
        </w:rPr>
        <w:t>II. ÖN BAŞVURU VE SÜRE</w:t>
      </w:r>
    </w:p>
    <w:p>
      <w:pPr>
        <w:widowControl/>
        <w:jc w:val="both"/>
      </w:pPr>
      <w:r>
        <w:rPr>
          <w:b w:val="0"/>
          <w:i w:val="0"/>
        </w:rPr>
        <w:t xml:space="preserve">3. Dava </w:t>
      </w:r>
      <w:r>
        <w:rPr>
          <w:b/>
          <w:i w:val="0"/>
        </w:rPr>
        <w:t>[İDARİ EYLEM/İDARİ İŞLEM]</w:t>
      </w:r>
      <w:r>
        <w:rPr>
          <w:b w:val="0"/>
          <w:i w:val="0"/>
        </w:rPr>
        <w:t xml:space="preserve"> kaynaklıdır. </w:t>
      </w:r>
      <w:r>
        <w:rPr>
          <w:b/>
          <w:i w:val="0"/>
        </w:rPr>
        <w:t>[EYLEM İÇİN: ZARAR VE İDARİ NİTELİĞİN ÖĞRENİLDİĞİ TARİH]</w:t>
      </w:r>
      <w:r>
        <w:rPr>
          <w:b w:val="0"/>
          <w:i w:val="0"/>
        </w:rPr>
        <w:t xml:space="preserve"> sonrasında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ilgili idareye İYUK 13 başvurusu yapılmış, </w:t>
      </w:r>
      <w:r>
        <w:rPr>
          <w:b/>
          <w:i w:val="0"/>
        </w:rPr>
        <w:t>[AÇIK RET/ZIMNİ RET]</w:t>
      </w:r>
      <w:r>
        <w:rPr>
          <w:b w:val="0"/>
          <w:i w:val="0"/>
        </w:rPr>
        <w:t xml:space="preserve"> oluşmuştur. </w:t>
      </w:r>
      <w:r>
        <w:rPr>
          <w:b/>
          <w:i w:val="0"/>
        </w:rPr>
        <w:t>[İŞLEM İÇİN: İYUK 12 KAPSAMINDA DOĞRUDAN/BİRLİKTE/İPTAL DAVASI SONRASI YOL VE TARİHLER]</w:t>
      </w:r>
      <w:r>
        <w:rPr>
          <w:b w:val="0"/>
          <w:i w:val="0"/>
        </w:rPr>
        <w:t xml:space="preserve"> açıklanmıştır. Seçilmeyen usul çıkarılmıştır.</w:t>
      </w:r>
    </w:p>
    <w:p>
      <w:pPr>
        <w:pStyle w:val="Heading1"/>
        <w:widowControl/>
      </w:pPr>
      <w:r>
        <w:rPr>
          <w:b/>
          <w:i w:val="0"/>
        </w:rPr>
        <w:t>III. ZARAR HESABI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Zarar kalemi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Hesap ve dönem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İstenen tutar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[ONARIM/GİDER/GELİR KAYBI]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[HESAP]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  <w:t xml:space="preserve"> TL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[DİĞER MADDİ ZARAR]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[HESAP]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  <w:t xml:space="preserve"> TL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MANEVİ ZARAR]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[KİŞİSEL ETKİ VE GEREKÇE]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  <w:t xml:space="preserve"> TL</w:t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4. Aynı zarar için alınan </w:t>
      </w:r>
      <w:r>
        <w:rPr>
          <w:b/>
          <w:i w:val="0"/>
        </w:rPr>
        <w:t>[SİGORTA/İDARE/ÜÇÜNCÜ KİŞİ ÖDEMESİ]</w:t>
      </w:r>
      <w:r>
        <w:rPr>
          <w:b w:val="0"/>
          <w:i w:val="0"/>
        </w:rPr>
        <w:t xml:space="preserve">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olup hukuken mahsup edilmesi gereken kısım hesapta gösterilmiştir. Manevi zarar talep ediliyorsa olayın kişilik değerlerine etkisi </w:t>
      </w:r>
      <w:r>
        <w:rPr>
          <w:b/>
          <w:i w:val="0"/>
        </w:rPr>
        <w:t>[SOMUT AÇIKLAMA]</w:t>
      </w:r>
      <w:r>
        <w:rPr>
          <w:b w:val="0"/>
          <w:i w:val="0"/>
        </w:rPr>
        <w:t xml:space="preserve">dır. Maddi zarar için gereken teknik hesap ve bilirkişi incelemesi alanı </w:t>
      </w:r>
      <w:r>
        <w:rPr>
          <w:b/>
          <w:i w:val="0"/>
        </w:rPr>
        <w:t>[UZMANLIK]</w:t>
      </w:r>
      <w:r>
        <w:rPr>
          <w:b w:val="0"/>
          <w:i w:val="0"/>
        </w:rPr>
        <w:t>tır.</w:t>
      </w:r>
    </w:p>
    <w:p>
      <w:pPr>
        <w:pStyle w:val="Heading1"/>
        <w:widowControl/>
      </w:pPr>
      <w:r>
        <w:rPr>
          <w:b/>
          <w:i w:val="0"/>
        </w:rPr>
        <w:t>DELİLLER VE HUKUKİ NEDENLER</w:t>
      </w:r>
    </w:p>
    <w:p>
      <w:pPr>
        <w:widowControl/>
        <w:jc w:val="both"/>
      </w:pPr>
      <w:r>
        <w:rPr>
          <w:b w:val="0"/>
          <w:i w:val="0"/>
        </w:rPr>
        <w:t>Olay tutanakları, başvuru/ret ve tebliğ belgeleri, fatura/rapor/gelir kayıtları, işlem dosyası, keşif ve bilirkişi incelemesi; Anayasa 125, 2577 sayılı Kanun m. 2,3,12,13,16/4 ve ilgili hizmet mevzuatı.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[MADDİ TUTAR]</w:t>
      </w:r>
      <w:r>
        <w:rPr>
          <w:b w:val="0"/>
          <w:i w:val="0"/>
        </w:rPr>
        <w:t xml:space="preserve"> TL maddi ve </w:t>
      </w:r>
      <w:r>
        <w:rPr>
          <w:b/>
          <w:i w:val="0"/>
        </w:rPr>
        <w:t>[VARSA MANEVİ TUTAR]</w:t>
      </w:r>
      <w:r>
        <w:rPr>
          <w:b w:val="0"/>
          <w:i w:val="0"/>
        </w:rPr>
        <w:t xml:space="preserve"> TL manevi tazminatın </w:t>
      </w:r>
      <w:r>
        <w:rPr>
          <w:b/>
          <w:i w:val="0"/>
        </w:rPr>
        <w:t>[FAİZ BAŞLANGICI VE HUKUKİ NEDENİ]</w:t>
      </w:r>
      <w:r>
        <w:rPr>
          <w:b w:val="0"/>
          <w:i w:val="0"/>
        </w:rPr>
        <w:t xml:space="preserve"> tarihinden işleyecek yasal faiziyle davalı idareden tahsiline; gerekli dosyanın getirtilmesine ve bilirkişi incelemesine; yargılama giderleri ile vekille temsil varsa kanuni vekâlet ücretinin davalıya yükletilmesine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Davacı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Olay ve hizmet kayıtları</w:t>
      </w:r>
    </w:p>
    <w:p>
      <w:pPr>
        <w:widowControl/>
      </w:pPr>
      <w:r>
        <w:rPr>
          <w:b w:val="0"/>
          <w:i w:val="0"/>
        </w:rPr>
        <w:t>2. Ön başvuru, teslim ve ret belgeleri</w:t>
      </w:r>
    </w:p>
    <w:p>
      <w:pPr>
        <w:widowControl/>
      </w:pPr>
      <w:r>
        <w:rPr>
          <w:b w:val="0"/>
          <w:i w:val="0"/>
        </w:rPr>
        <w:t>3. Zarar faturaları/raporları</w:t>
      </w:r>
    </w:p>
    <w:p>
      <w:pPr>
        <w:widowControl/>
      </w:pPr>
      <w:r>
        <w:rPr>
          <w:b w:val="0"/>
          <w:i w:val="0"/>
        </w:rPr>
        <w:t>4. Gelir ve iş kaybı belgeleri</w:t>
      </w:r>
    </w:p>
    <w:p>
      <w:pPr>
        <w:widowControl/>
      </w:pPr>
      <w:r>
        <w:rPr>
          <w:b w:val="0"/>
          <w:i w:val="0"/>
        </w:rPr>
        <w:t>5. Önceki ödeme belgeleri</w:t>
      </w:r>
    </w:p>
    <w:p>
      <w:pPr>
        <w:widowControl/>
      </w:pPr>
      <w:r>
        <w:rPr>
          <w:b w:val="0"/>
          <w:i w:val="0"/>
        </w:rPr>
        <w:t>6.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Tam Yargı Davası Dilekçesi</dc:title>
  <dc:subject>İdare ve Kamu Başvuruları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