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PAYDAŞLAR ARASINDA TAŞINMAZ KULLANIM PROTOKOLÜ</w:t>
      </w:r>
    </w:p>
    <w:p>
      <w:pPr>
        <w:widowControl/>
        <w:spacing w:after="60"/>
      </w:pPr>
      <w:r>
        <w:rPr>
          <w:b/>
        </w:rPr>
        <w:t xml:space="preserve">Taşınmaz : </w:t>
      </w:r>
      <w:r>
        <w:t>[İL, İLÇE, ADA, PARSEL, BAĞIMSIZ BÖLÜM / ADRES]</w:t>
      </w:r>
    </w:p>
    <w:p>
      <w:pPr>
        <w:widowControl/>
        <w:spacing w:after="60"/>
      </w:pPr>
      <w:r>
        <w:rPr>
          <w:b/>
        </w:rPr>
        <w:t xml:space="preserve">Mülkiyet türü : </w:t>
      </w:r>
      <w:r>
        <w:t>[PAYLI / ELBİRLİĞİ]</w:t>
      </w:r>
    </w:p>
    <w:p>
      <w:pPr>
        <w:widowControl/>
        <w:spacing w:after="60"/>
      </w:pPr>
      <w:r>
        <w:rPr>
          <w:b/>
        </w:rPr>
        <w:t xml:space="preserve">Tarih ve süre : </w:t>
      </w:r>
      <w:r>
        <w:t>[BAŞLANGIÇ–BİTİŞ / BELİRSİZ SÜRE]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Paydaş / hak sahibi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Kimlik no ve adres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Tapu / miras payı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1. Kullanım alanlarının belirlenmesi</w:t>
      </w:r>
    </w:p>
    <w:p>
      <w:pPr>
        <w:widowControl/>
        <w:jc w:val="both"/>
      </w:pPr>
      <w:r>
        <w:rPr>
          <w:b w:val="0"/>
          <w:i w:val="0"/>
        </w:rPr>
        <w:t>Taraflar mülkiyet paylarını değiştirmeksizin, taşınmazı aşağıdaki şekilde fiilen kullanmayı kabul eder. Ekli tarihli ve imzalı kroki bu düzenlemenin ayrılmaz parçasıdır.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Alan / krokideki renk-numara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Kullanacak kişi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Kullanım amacı / saat veya dönem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[ALAN]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[AMAÇ / DÖNEM]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[ORTAK ALAN]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[TÜMÜ]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[ORTAK KULLANIM KURALI]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Sınırlar ve ortak erişim</w:t>
      </w:r>
    </w:p>
    <w:p>
      <w:pPr>
        <w:widowControl/>
        <w:jc w:val="both"/>
      </w:pPr>
      <w:r>
        <w:rPr>
          <w:b w:val="0"/>
          <w:i w:val="0"/>
        </w:rPr>
        <w:t xml:space="preserve">Kullanıcı, kendisine ayrılan alanı </w:t>
      </w:r>
      <w:r>
        <w:rPr>
          <w:b/>
          <w:i w:val="0"/>
        </w:rPr>
        <w:t>[AMAÇ]</w:t>
      </w:r>
      <w:r>
        <w:rPr>
          <w:b w:val="0"/>
          <w:i w:val="0"/>
        </w:rPr>
        <w:t xml:space="preserve"> dışında kullanamaz; ortak geçiş, tesisat ve çıkışları engelleyemez. Yapısal değişiklik, üçüncü kişiye kullanım bırakılması veya yeni yapı yapılması için gereken malik rızaları ve idari izinler ayrıca alınacaktır. Bu protokol tek başına inşaat/ruhsat izni oluşturmaz.</w:t>
      </w:r>
    </w:p>
    <w:p>
      <w:pPr>
        <w:pStyle w:val="Heading1"/>
        <w:widowControl/>
      </w:pPr>
      <w:r>
        <w:rPr>
          <w:b/>
          <w:i w:val="0"/>
        </w:rPr>
        <w:t>3. Gider ve gelir düzeni</w:t>
      </w:r>
    </w:p>
    <w:p>
      <w:pPr>
        <w:widowControl/>
        <w:jc w:val="both"/>
      </w:pPr>
      <w:r>
        <w:rPr>
          <w:b w:val="0"/>
          <w:i w:val="0"/>
        </w:rPr>
        <w:t xml:space="preserve">Bireysel tüketimler sayaç/kayıt esasına göre kullanan tarafından; ortak giderler </w:t>
      </w:r>
      <w:r>
        <w:rPr>
          <w:b/>
          <w:i w:val="0"/>
        </w:rPr>
        <w:t>[ORAN / HESAP ESASI]</w:t>
      </w:r>
      <w:r>
        <w:rPr>
          <w:b w:val="0"/>
          <w:i w:val="0"/>
        </w:rPr>
        <w:t xml:space="preserve"> ile karşılanır. Ortak gelir doğarsa </w:t>
      </w:r>
      <w:r>
        <w:rPr>
          <w:b/>
          <w:i w:val="0"/>
        </w:rPr>
        <w:t>[TAHSİL EDEN, HESAP, DAĞITIM TARİHİ]</w:t>
      </w:r>
      <w:r>
        <w:rPr>
          <w:b w:val="0"/>
          <w:i w:val="0"/>
        </w:rPr>
        <w:t xml:space="preserve"> düzeni uygulanır. Kullanım denkleştirme bedeli varsa </w:t>
      </w:r>
      <w:r>
        <w:rPr>
          <w:b/>
          <w:i w:val="0"/>
        </w:rPr>
        <w:t>[TUTAR, ALACAKLI, VADE]</w:t>
      </w:r>
      <w:r>
        <w:rPr>
          <w:b w:val="0"/>
          <w:i w:val="0"/>
        </w:rPr>
        <w:t xml:space="preserve"> olarak kararlaştırılmıştır; yoksa bedelsiz kullanım olduğu belirtilir.</w:t>
      </w:r>
    </w:p>
    <w:p>
      <w:pPr>
        <w:pStyle w:val="Heading1"/>
        <w:widowControl/>
      </w:pPr>
      <w:r>
        <w:rPr>
          <w:b/>
          <w:i w:val="0"/>
        </w:rPr>
        <w:t>4. Süre, değişiklik ve teslim</w:t>
      </w:r>
    </w:p>
    <w:p>
      <w:pPr>
        <w:widowControl/>
        <w:jc w:val="both"/>
      </w:pPr>
      <w:r>
        <w:rPr>
          <w:b w:val="0"/>
          <w:i w:val="0"/>
        </w:rPr>
        <w:t xml:space="preserve">Protokol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itibarıyla yürürlüğe girer. Değişiklikler etkilenen hak sahiplerinin gerekli katılımıyla yazılı yapılır. Sona erme bildirimi </w:t>
      </w:r>
      <w:r>
        <w:rPr>
          <w:b/>
          <w:i w:val="0"/>
        </w:rPr>
        <w:t>[SÜRE VE YÖNTEM]</w:t>
      </w:r>
      <w:r>
        <w:rPr>
          <w:b w:val="0"/>
          <w:i w:val="0"/>
        </w:rPr>
        <w:t xml:space="preserve"> ile yapılacaktır. Süre sonunda alanlar kişisel eşyalar alınarak ve olağan kullanım dışındaki zararlar tespit edilerek tutanakla teslim edilir.</w:t>
      </w:r>
    </w:p>
    <w:p>
      <w:pPr>
        <w:pStyle w:val="Heading1"/>
        <w:keepNext/>
        <w:widowControl/>
      </w:pPr>
      <w:r>
        <w:rPr>
          <w:b/>
          <w:i w:val="0"/>
        </w:rPr>
        <w:t>5. Mülkiyet ve üçüncü kişiler</w:t>
      </w:r>
    </w:p>
    <w:p>
      <w:pPr>
        <w:keepNext/>
        <w:widowControl/>
        <w:jc w:val="both"/>
      </w:pPr>
      <w:r>
        <w:rPr>
          <w:b w:val="0"/>
          <w:i w:val="0"/>
        </w:rPr>
        <w:t>Bu düzenleme satış, miras paylaşımı veya ayni hak kurulması değildir. Pay devrinde yeni hak sahibine kullanım düzeni bildirilir; üçüncü kişilere karşı etki kanuni koşullara tabidir. Paydaşlar, kanundan doğan paylaşma ve dava haklarının bu metinle belirsiz süreyle ortadan kaldırılmadığını kabul eder.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Bütün ilgili paydaşlar / hak sahipleri</w:t>
        <w:br/>
      </w:r>
      <w:r>
        <w:rPr>
          <w:b/>
          <w:i w:val="0"/>
        </w:rPr>
        <w:t>[HER BİRİ İÇİN 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Güncel tapu / mirasçılık kaydı</w:t>
      </w:r>
    </w:p>
    <w:p>
      <w:pPr>
        <w:keepNext/>
        <w:widowControl/>
      </w:pPr>
      <w:r>
        <w:rPr>
          <w:b w:val="0"/>
          <w:i w:val="0"/>
        </w:rPr>
        <w:t>2. İmzalı kullanım krokisi</w:t>
      </w:r>
    </w:p>
    <w:p>
      <w:pPr>
        <w:widowControl/>
      </w:pPr>
      <w:r>
        <w:rPr>
          <w:b w:val="0"/>
          <w:i w:val="0"/>
        </w:rPr>
        <w:t>3. Gider ve gelir cetveli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Taşınmaz Kullanım Protokolü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