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TAŞINMAZ SATIŞ VAADİ İÇİN ÖN BİLGİ VE ŞART TASLAĞI</w:t>
      </w:r>
    </w:p>
    <w:p>
      <w:pPr>
        <w:widowControl/>
        <w:jc w:val="both"/>
      </w:pPr>
      <w:r>
        <w:rPr>
          <w:b w:val="0"/>
          <w:i w:val="0"/>
        </w:rPr>
        <w:t>Bu çalışma belgesi, noterde düzenlenecek taşınmaz satış vaadi sözleşmesine hazırlık içindir. Tek başına geçerli bir satış vaadi kurmaz, taşınmaz mülkiyetini devretmez ve tapuya tescil yerine geçmez.</w:t>
      </w:r>
    </w:p>
    <w:p>
      <w:pPr>
        <w:widowControl/>
        <w:spacing w:after="80"/>
      </w:pPr>
      <w:r>
        <w:rPr>
          <w:b/>
        </w:rPr>
        <w:t xml:space="preserve">Satış vaadinde bulunacak kişi : </w:t>
      </w:r>
      <w:r>
        <w:t>[AD SOYAD / UNVAN, T.C. / VERGİ NO, ADRES]</w:t>
      </w:r>
    </w:p>
    <w:p>
      <w:pPr>
        <w:widowControl/>
        <w:spacing w:after="80"/>
      </w:pPr>
      <w:r>
        <w:rPr>
          <w:b/>
        </w:rPr>
        <w:t xml:space="preserve">Satın alma vaadini kabul edecek kişi : </w:t>
      </w:r>
      <w:r>
        <w:t>[AD SOYAD / UNVAN, T.C. / VERGİ NO, ADRES]</w:t>
      </w:r>
    </w:p>
    <w:p>
      <w:pPr>
        <w:widowControl/>
        <w:spacing w:after="80"/>
      </w:pPr>
      <w:r>
        <w:rPr>
          <w:b/>
        </w:rPr>
        <w:t xml:space="preserve">İmza tarihi ve yeri : </w:t>
      </w:r>
      <w:r>
        <w:t>[TARİH] / [YER]</w:t>
      </w:r>
    </w:p>
    <w:p>
      <w:pPr>
        <w:pStyle w:val="Heading1"/>
        <w:widowControl/>
      </w:pPr>
      <w:r>
        <w:rPr>
          <w:b/>
          <w:i w:val="0"/>
        </w:rPr>
        <w:t>1. Taşınmaz ve malik bilgileri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Kayıt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Bilgi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İl / ilçe / mahalle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[BİLGİ]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Ada / parsel / bağımsız bölüm / arsa payı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[BİLGİ]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Nitelik, yüzölçümü, vaat edilen pay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[BİLGİ]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Tapu maliki ve edinme bilgisi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[BİLGİ]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İpotek, haciz, şerh, irtifak, aile konutu durumu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[GÜNCEL KAYDA GÖRE]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Kiracı / kullanıcı ve tahliye durumu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[BİLGİ]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2. Noter işlemine aktarılacak ekonomik koşullar</w:t>
      </w:r>
    </w:p>
    <w:p>
      <w:pPr>
        <w:widowControl/>
        <w:jc w:val="both"/>
      </w:pPr>
      <w:r>
        <w:rPr>
          <w:b w:val="0"/>
          <w:i w:val="0"/>
        </w:rPr>
        <w:t xml:space="preserve">Öngörülen toplam bedel </w:t>
      </w:r>
      <w:r>
        <w:rPr>
          <w:b/>
          <w:i w:val="0"/>
        </w:rPr>
        <w:t>[TUTAR / PARA BİRİMİ]</w:t>
      </w:r>
      <w:r>
        <w:rPr>
          <w:b w:val="0"/>
          <w:i w:val="0"/>
        </w:rPr>
        <w:t>, ödeme takvimi aşağıdaki gibidir. Bedelin hangi kısmının hangi edimin karşılığı olduğu resmî sözleşmede açıkça gösterilecektir. Henüz yapılmamış ödeme yapılmış gibi yazılmayacaktır.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39"/>
        <w:gridCol w:w="2339"/>
        <w:gridCol w:w="2339"/>
        <w:gridCol w:w="2339"/>
      </w:tblGrid>
      <w:tr>
        <w:trPr>
          <w:cantSplit/>
          <w:tblHeader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Ödeme aşaması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Tutar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Vade / şart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Hesap ve açıklama</w:t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[ÖN ÖDEME]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[ŞART / 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[IBAN]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[TAPU DEVRİ SIRASINDA]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[YÖNTEM]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3. Devir ve fiili teslim için üzerinde çalışılan şartlar</w:t>
      </w:r>
    </w:p>
    <w:p>
      <w:pPr>
        <w:widowControl/>
        <w:jc w:val="both"/>
      </w:pPr>
      <w:r>
        <w:rPr>
          <w:b w:val="0"/>
          <w:i w:val="0"/>
        </w:rPr>
        <w:t xml:space="preserve">Resmî devir için hedef tarih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, başvurulacak tapu müdürlüğü / yetkili noter </w:t>
      </w:r>
      <w:r>
        <w:rPr>
          <w:b/>
          <w:i w:val="0"/>
        </w:rPr>
        <w:t>[YER]</w:t>
      </w:r>
      <w:r>
        <w:rPr>
          <w:b w:val="0"/>
          <w:i w:val="0"/>
        </w:rPr>
        <w:t xml:space="preserve"> olarak düşünülmektedir. Vaat borçlusunun devre kadar yerine getireceği işlemler </w:t>
      </w:r>
      <w:r>
        <w:rPr>
          <w:b/>
          <w:i w:val="0"/>
        </w:rPr>
        <w:t>[İPOTEĞİN KALDIRILMASI / İSKÂN / MİRAS İNTİKALİ / DİĞER]</w:t>
      </w:r>
      <w:r>
        <w:rPr>
          <w:b w:val="0"/>
          <w:i w:val="0"/>
        </w:rPr>
        <w:t xml:space="preserve"> olarak belirlenmiştir. Her işlem için süre ve belge: </w:t>
      </w:r>
      <w:r>
        <w:rPr>
          <w:b/>
          <w:i w:val="0"/>
        </w:rPr>
        <w:t>[AYRINTI]</w:t>
      </w:r>
      <w:r>
        <w:rPr>
          <w:b w:val="0"/>
          <w:i w:val="0"/>
        </w:rPr>
        <w:t>.</w:t>
      </w:r>
    </w:p>
    <w:p>
      <w:pPr>
        <w:widowControl/>
        <w:jc w:val="both"/>
      </w:pPr>
      <w:r>
        <w:rPr>
          <w:b w:val="0"/>
          <w:i w:val="0"/>
        </w:rPr>
        <w:t xml:space="preserve">Fiili teslim </w:t>
      </w:r>
      <w:r>
        <w:rPr>
          <w:b/>
          <w:i w:val="0"/>
        </w:rPr>
        <w:t>[TARİH / ŞART]</w:t>
      </w:r>
      <w:r>
        <w:rPr>
          <w:b w:val="0"/>
          <w:i w:val="0"/>
        </w:rPr>
        <w:t xml:space="preserve"> ile yapılacaktır. Anahtarlar, demirbaşlar, sayaçlar, mevcut kullanıcının durumu ve teslimde tutulacak tutanak </w:t>
      </w:r>
      <w:r>
        <w:rPr>
          <w:b/>
          <w:i w:val="0"/>
        </w:rPr>
        <w:t>[AYRINTI]</w:t>
      </w:r>
      <w:r>
        <w:rPr>
          <w:b w:val="0"/>
          <w:i w:val="0"/>
        </w:rPr>
        <w:t xml:space="preserve"> olarak düzenlenecektir. Fiili teslim ile mülkiyet devrinin farklı tarihlerde olması hâlindeki gider ve risk paylaşımı resmî metinde açıklanacaktır.</w:t>
      </w:r>
    </w:p>
    <w:p>
      <w:pPr>
        <w:pStyle w:val="Heading1"/>
        <w:widowControl/>
      </w:pPr>
      <w:r>
        <w:rPr>
          <w:b/>
          <w:i w:val="0"/>
        </w:rPr>
        <w:t>4. Resmî metinde ayrıca kararlaştırılacak hususlar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Konu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Tarafların önerisi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Tapuya şerh ve masrafları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[İSTENİYOR MU, KİM BAŞVURACAK]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Harç, noter ücreti ve diğer giderler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[KALEM BAZINDA DAĞILIM]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Gecikme, temerrüt ve varsa cezai şart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[TUTAR, HANGİ İHLAL, İFA İLE BİRLİKTE İSTENİP İSTENMEYECEĞİ]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Ön ödeme iadesi ve gerçekleşmeyen koşullar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[TARİH, YÖNTEM, SONUÇ]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Temsil ve gerekli izinler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[ÖZEL YETKİ, EŞ RIZASI / İZİN GEREKİYORSA]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>Bu listedeki öneriler noterlikte resmî şekle uygun son metin oluşturulurken değerlendirilecektir. Taraflar aşağıdaki imzalarla yalnız hazırlık bilgilerinin kendilerine ait olduğunu teyit eder.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Bilgi veren satıcı adayı</w:t>
        <w:br/>
      </w:r>
      <w:r>
        <w:rPr>
          <w:b/>
          <w:i w:val="0"/>
        </w:rPr>
        <w:t>[AD SOYAD, İMZA]</w:t>
      </w:r>
      <w:r>
        <w:rPr>
          <w:b w:val="0"/>
          <w:i w:val="0"/>
        </w:rPr>
        <w:br/>
        <w:t>Bilgi veren alıcı adayı</w:t>
        <w:br/>
      </w:r>
      <w:r>
        <w:rPr>
          <w:b/>
          <w:i w:val="0"/>
        </w:rPr>
        <w:t>[AD SOYAD,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Güncel tapu kaydı</w:t>
      </w:r>
    </w:p>
    <w:p>
      <w:pPr>
        <w:widowControl/>
      </w:pPr>
      <w:r>
        <w:rPr>
          <w:b w:val="0"/>
          <w:i w:val="0"/>
        </w:rPr>
        <w:t>2. Kimlik ve temsil belgeleri</w:t>
      </w:r>
    </w:p>
    <w:p>
      <w:pPr>
        <w:widowControl/>
      </w:pPr>
      <w:r>
        <w:rPr>
          <w:b w:val="0"/>
          <w:i w:val="0"/>
        </w:rPr>
        <w:t>3. Varsa ödeme belgeleri</w:t>
      </w:r>
    </w:p>
    <w:p>
      <w:pPr>
        <w:widowControl/>
      </w:pPr>
      <w:r>
        <w:rPr>
          <w:b w:val="0"/>
          <w:i w:val="0"/>
        </w:rPr>
        <w:t>4. Ruhsat/iskân ve takyidat belgeleri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Taşınmaz Satış Vaadi İçin Ön Bilgi ve Şart Taslağı</dc:title>
  <dc:subject>Tapu Taşınmaz ve Komşuluk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