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TEDARİK ÇERÇEVE SÖZLEŞMESİ</w:t>
      </w:r>
    </w:p>
    <w:p>
      <w:pPr>
        <w:widowControl/>
        <w:spacing w:after="80"/>
      </w:pPr>
      <w:r>
        <w:rPr>
          <w:b/>
        </w:rPr>
        <w:t xml:space="preserve">Alıcı : </w:t>
      </w:r>
      <w:r>
        <w:t>[UNVAN, VERGİ/MERSİS, ADRES, TEMSİLCİ]</w:t>
      </w:r>
    </w:p>
    <w:p>
      <w:pPr>
        <w:widowControl/>
        <w:spacing w:after="80"/>
      </w:pPr>
      <w:r>
        <w:rPr>
          <w:b/>
        </w:rPr>
        <w:t xml:space="preserve">Tedarikçi : </w:t>
      </w:r>
      <w:r>
        <w:t>[UNVAN, VERGİ/MERSİS, ADRES, TEMSİLCİ]</w:t>
      </w:r>
    </w:p>
    <w:p>
      <w:pPr>
        <w:widowControl/>
        <w:spacing w:after="80"/>
      </w:pPr>
      <w:r>
        <w:rPr>
          <w:b/>
        </w:rPr>
        <w:t xml:space="preserve">Yürürlük / dönem : </w:t>
      </w:r>
      <w:r>
        <w:t>[TARİH] / [DÖNEM]</w:t>
      </w:r>
    </w:p>
    <w:p>
      <w:pPr>
        <w:pStyle w:val="Heading1"/>
        <w:widowControl/>
      </w:pPr>
      <w:r>
        <w:rPr>
          <w:b/>
          <w:i w:val="0"/>
        </w:rPr>
        <w:t>1. Ürün ve teknik şartname</w:t>
      </w:r>
    </w:p>
    <w:p>
      <w:pPr>
        <w:widowControl/>
        <w:jc w:val="both"/>
      </w:pPr>
      <w:r>
        <w:rPr>
          <w:b w:val="0"/>
          <w:i w:val="0"/>
        </w:rPr>
        <w:t xml:space="preserve">Tedarikçi, Ek-1 ürünlerini çizim, malzeme, tolerans, kalite sınıfı, ambalaj ve mevzuat koşullarına uygun üretip teslim eder. Şartname sürümü </w:t>
      </w:r>
      <w:r>
        <w:rPr>
          <w:b/>
          <w:i w:val="0"/>
        </w:rPr>
        <w:t>[NUMARA/TARİH]</w:t>
      </w:r>
      <w:r>
        <w:rPr>
          <w:b w:val="0"/>
          <w:i w:val="0"/>
        </w:rPr>
        <w:t xml:space="preserve"> esas alınır. Numune onayı seri üretimde sonradan oluşan ayıplara ilişkin sorumluluğu ortadan kaldırmaz; teknik değişiklik alıcının yazılı kabulüne bağlıdır.</w:t>
      </w:r>
    </w:p>
    <w:p>
      <w:pPr>
        <w:pStyle w:val="Heading1"/>
        <w:widowControl/>
      </w:pPr>
      <w:r>
        <w:rPr>
          <w:b/>
          <w:i w:val="0"/>
        </w:rPr>
        <w:t>2. Siparişlerin kurulması</w:t>
      </w:r>
    </w:p>
    <w:p>
      <w:pPr>
        <w:widowControl/>
        <w:jc w:val="both"/>
      </w:pPr>
      <w:r>
        <w:rPr>
          <w:b w:val="0"/>
          <w:i w:val="0"/>
        </w:rPr>
        <w:t xml:space="preserve">Alıcının üretim tahminleri bağlayıcı sipariş sayılmaz. Ürün kodu, miktar, birim fiyat ve teslim tarihi içeren sipariş, tedarikçinin </w:t>
      </w:r>
      <w:r>
        <w:rPr>
          <w:b/>
          <w:i w:val="0"/>
        </w:rPr>
        <w:t>[GÜN]</w:t>
      </w:r>
      <w:r>
        <w:rPr>
          <w:b w:val="0"/>
          <w:i w:val="0"/>
        </w:rPr>
        <w:t xml:space="preserve"> içinde yazılı kabulüyle bağlayıcı olur. Asgari satın alma yükümlülüğü yalnız Ek-2 içinde açıkça kararlaştırılmış miktarlar için vardır. Öncelik sırası: imzalı değişiklik, sözleşme, teknik şartname ve teyitli sipariş.</w:t>
      </w:r>
    </w:p>
    <w:p>
      <w:pPr>
        <w:pStyle w:val="Heading1"/>
        <w:widowControl/>
      </w:pPr>
      <w:r>
        <w:rPr>
          <w:b/>
          <w:i w:val="0"/>
        </w:rPr>
        <w:t>3. Fiyat ve ödeme</w:t>
      </w:r>
    </w:p>
    <w:p>
      <w:pPr>
        <w:widowControl/>
        <w:jc w:val="both"/>
      </w:pPr>
      <w:r>
        <w:rPr>
          <w:b w:val="0"/>
          <w:i w:val="0"/>
        </w:rPr>
        <w:t xml:space="preserve">Birim fiyat </w:t>
      </w:r>
      <w:r>
        <w:rPr>
          <w:b/>
          <w:i w:val="0"/>
        </w:rPr>
        <w:t>[TUTAR/BİRİM]</w:t>
      </w:r>
      <w:r>
        <w:rPr>
          <w:b w:val="0"/>
          <w:i w:val="0"/>
        </w:rPr>
        <w:t xml:space="preserve">, para birimi </w:t>
      </w:r>
      <w:r>
        <w:rPr>
          <w:b/>
          <w:i w:val="0"/>
        </w:rPr>
        <w:t>[BİRİM]</w:t>
      </w:r>
      <w:r>
        <w:rPr>
          <w:b w:val="0"/>
          <w:i w:val="0"/>
        </w:rPr>
        <w:t xml:space="preserve">, KDV durumu </w:t>
      </w:r>
      <w:r>
        <w:rPr>
          <w:b/>
          <w:i w:val="0"/>
        </w:rPr>
        <w:t>[DAHİL/HARİÇ]</w:t>
      </w:r>
      <w:r>
        <w:rPr>
          <w:b w:val="0"/>
          <w:i w:val="0"/>
        </w:rPr>
        <w:t xml:space="preserve">, ödeme vadesi </w:t>
      </w:r>
      <w:r>
        <w:rPr>
          <w:b/>
          <w:i w:val="0"/>
        </w:rPr>
        <w:t>[GÜN]</w:t>
      </w:r>
      <w:r>
        <w:rPr>
          <w:b w:val="0"/>
          <w:i w:val="0"/>
        </w:rPr>
        <w:t xml:space="preserve"> olarak kararlaştırılmıştır. Fiyat güncellemesi </w:t>
      </w:r>
      <w:r>
        <w:rPr>
          <w:b/>
          <w:i w:val="0"/>
        </w:rPr>
        <w:t>[NESNEL ENDEKS/FORMÜL]</w:t>
      </w:r>
      <w:r>
        <w:rPr>
          <w:b w:val="0"/>
          <w:i w:val="0"/>
        </w:rPr>
        <w:t xml:space="preserve"> üzerinden </w:t>
      </w:r>
      <w:r>
        <w:rPr>
          <w:b/>
          <w:i w:val="0"/>
        </w:rPr>
        <w:t>[DÖNEM]</w:t>
      </w:r>
      <w:r>
        <w:rPr>
          <w:b w:val="0"/>
          <w:i w:val="0"/>
        </w:rPr>
        <w:t xml:space="preserve"> bazında yapılır; geriye yürütülmez. Avans varsa miktarı, mahsup takvimi ve kullanılmamış kısmın iadesi Ek-2 içinde gösterilir.</w:t>
      </w:r>
    </w:p>
    <w:p>
      <w:pPr>
        <w:pStyle w:val="Heading1"/>
        <w:widowControl/>
      </w:pPr>
      <w:r>
        <w:rPr>
          <w:b/>
          <w:i w:val="0"/>
        </w:rPr>
        <w:t>4. Teslim ve gecikme</w:t>
      </w:r>
    </w:p>
    <w:p>
      <w:pPr>
        <w:widowControl/>
        <w:jc w:val="both"/>
      </w:pPr>
      <w:r>
        <w:rPr>
          <w:b w:val="0"/>
          <w:i w:val="0"/>
        </w:rPr>
        <w:t xml:space="preserve">Teslim yeri </w:t>
      </w:r>
      <w:r>
        <w:rPr>
          <w:b/>
          <w:i w:val="0"/>
        </w:rPr>
        <w:t>[YER]</w:t>
      </w:r>
      <w:r>
        <w:rPr>
          <w:b w:val="0"/>
          <w:i w:val="0"/>
        </w:rPr>
        <w:t xml:space="preserve">, teslim programı Ek-2, taşıma gideri ve risk dağılımı </w:t>
      </w:r>
      <w:r>
        <w:rPr>
          <w:b/>
          <w:i w:val="0"/>
        </w:rPr>
        <w:t>[USUL]</w:t>
      </w:r>
      <w:r>
        <w:rPr>
          <w:b w:val="0"/>
          <w:i w:val="0"/>
        </w:rPr>
        <w:t xml:space="preserve"> şeklindedir. Her sevkiyatta sipariş, parti ve miktar bilgili irsaliye bulunur. Gecikme öngörüldüğünde tedarikçi gecikmenin süresini ve telafi planını derhâl bildirir. Alıcının ek süre verme, ifa veya sözleşmeden doğan diğer hakları somut sipariş bakımından kullanılır.</w:t>
      </w:r>
    </w:p>
    <w:p>
      <w:pPr>
        <w:pStyle w:val="Heading1"/>
        <w:widowControl/>
      </w:pPr>
      <w:r>
        <w:rPr>
          <w:b/>
          <w:i w:val="0"/>
        </w:rPr>
        <w:t>5. Muayene ve kabul</w:t>
      </w:r>
    </w:p>
    <w:p>
      <w:pPr>
        <w:widowControl/>
        <w:jc w:val="both"/>
      </w:pPr>
      <w:r>
        <w:rPr>
          <w:b w:val="0"/>
          <w:i w:val="0"/>
        </w:rPr>
        <w:t xml:space="preserve">Teslim sayımı ve görünür hasar kontrolü teslim tutanağıyla yapılır; teknik test </w:t>
      </w:r>
      <w:r>
        <w:rPr>
          <w:b/>
          <w:i w:val="0"/>
        </w:rPr>
        <w:t>[YÖNTEM/NUMUNE ORANI]</w:t>
      </w:r>
      <w:r>
        <w:rPr>
          <w:b w:val="0"/>
          <w:i w:val="0"/>
        </w:rPr>
        <w:t xml:space="preserve"> ile gerçekleştirilir. Ticari satıştaki kanuni muayene ve ihbar süreleri saklıdır. Teslim belgesinin imzası yalnız teslimi gösterir; gizli ayıbın veya kararlaştırılmış teknik testin yapılmış olduğu anlamına gelmez.</w:t>
      </w:r>
    </w:p>
    <w:p>
      <w:pPr>
        <w:pStyle w:val="Heading1"/>
        <w:widowControl/>
      </w:pPr>
      <w:r>
        <w:rPr>
          <w:b/>
          <w:i w:val="0"/>
        </w:rPr>
        <w:t>6. Uygunsuz ürün</w:t>
      </w:r>
    </w:p>
    <w:p>
      <w:pPr>
        <w:widowControl/>
        <w:jc w:val="both"/>
      </w:pPr>
      <w:r>
        <w:rPr>
          <w:b w:val="0"/>
          <w:i w:val="0"/>
        </w:rPr>
        <w:t xml:space="preserve">Uygunsuzlukta ürün/parti, belirti, tespit tarihi ve deliller yazılı bildirilir. Tedarikçi </w:t>
      </w:r>
      <w:r>
        <w:rPr>
          <w:b/>
          <w:i w:val="0"/>
        </w:rPr>
        <w:t>[SÜRE]</w:t>
      </w:r>
      <w:r>
        <w:rPr>
          <w:b w:val="0"/>
          <w:i w:val="0"/>
        </w:rPr>
        <w:t xml:space="preserve"> içinde inceleme ve düzeltme planı sunar. Onarım, değiştirme, bedel indirimi veya sözleşmeden dönme hakkı kanuni koşullarına göre kullanılır. İade ve yeniden sevkiyat giderleri sorumluluk nedeni ve belgeler üzerinden karşılanır.</w:t>
      </w:r>
    </w:p>
    <w:p>
      <w:pPr>
        <w:pStyle w:val="Heading1"/>
        <w:widowControl/>
      </w:pPr>
      <w:r>
        <w:rPr>
          <w:b/>
          <w:i w:val="0"/>
        </w:rPr>
        <w:t>7. Kalıp, veri ve fikrî haklar</w:t>
      </w:r>
    </w:p>
    <w:p>
      <w:pPr>
        <w:widowControl/>
        <w:jc w:val="both"/>
      </w:pPr>
      <w:r>
        <w:rPr>
          <w:b w:val="0"/>
          <w:i w:val="0"/>
        </w:rPr>
        <w:t>Alıcının teslim ettiği kalıp, çizim ve numuneler Ek-3 listesine alınır; yalnız bu siparişlerde kullanılır ve talep/sona ermede iade edilir. Mevcut fikrî hak sahipliği değişmez. Yeni tasarım ve geliştirme haklarının devri gerekiyorsa kapsamı ve bedeli ayrı yazılı hükümle belirlenir.</w:t>
      </w:r>
    </w:p>
    <w:p>
      <w:pPr>
        <w:pStyle w:val="Heading1"/>
        <w:widowControl/>
      </w:pPr>
      <w:r>
        <w:rPr>
          <w:b/>
          <w:i w:val="0"/>
        </w:rPr>
        <w:t>8. Kesinti ve sona erme</w:t>
      </w:r>
    </w:p>
    <w:p>
      <w:pPr>
        <w:widowControl/>
        <w:jc w:val="both"/>
      </w:pPr>
      <w:r>
        <w:rPr>
          <w:b w:val="0"/>
          <w:i w:val="0"/>
        </w:rPr>
        <w:t xml:space="preserve">Mücbir sebep veya tedarik engeli belgelendirilerek </w:t>
      </w:r>
      <w:r>
        <w:rPr>
          <w:b/>
          <w:i w:val="0"/>
        </w:rPr>
        <w:t>[GÜN]</w:t>
      </w:r>
      <w:r>
        <w:rPr>
          <w:b w:val="0"/>
          <w:i w:val="0"/>
        </w:rPr>
        <w:t xml:space="preserve"> içinde bildirilir; stok ve alternatif üretim planı paylaşılır. Giderilebilir esaslı ihlalde </w:t>
      </w:r>
      <w:r>
        <w:rPr>
          <w:b/>
          <w:i w:val="0"/>
        </w:rPr>
        <w:t>[GÜN]</w:t>
      </w:r>
      <w:r>
        <w:rPr>
          <w:b w:val="0"/>
          <w:i w:val="0"/>
        </w:rPr>
        <w:t xml:space="preserve"> günlük yazılı süre verilir. Sözleşme sona erdiğinde kabul edilmiş siparişlerin akıbeti, yarı mamulün bedeli ve avans mahsupları Ek-4 kapanış hesabında belirlenir; gerçekleşmemiş üretim için otomatik tam bedel ödenmez.</w:t>
      </w:r>
    </w:p>
    <w:p>
      <w:pPr>
        <w:pStyle w:val="Heading1"/>
        <w:widowControl/>
      </w:pPr>
      <w:r>
        <w:rPr>
          <w:b/>
          <w:i w:val="0"/>
        </w:rPr>
        <w:t>9. Bildirimler ve yürürlük</w:t>
      </w:r>
    </w:p>
    <w:p>
      <w:pPr>
        <w:widowControl/>
        <w:jc w:val="both"/>
      </w:pPr>
      <w:r>
        <w:rPr>
          <w:b w:val="0"/>
          <w:i w:val="0"/>
        </w:rPr>
        <w:t xml:space="preserve">Operasyonel bildirim adresleri </w:t>
      </w:r>
      <w:r>
        <w:rPr>
          <w:b/>
          <w:i w:val="0"/>
        </w:rPr>
        <w:t>[ADRESLER]</w:t>
      </w:r>
      <w:r>
        <w:rPr>
          <w:b w:val="0"/>
          <w:i w:val="0"/>
        </w:rPr>
        <w:t xml:space="preserve"> olup tacirler arası temerrüt, fesih ve dönme bildirimlerinde kanuni şekle uyulur. Yetkili temsilcilerin yazılı onayı olmadan esaslı değişiklik yapılamaz. Sözleşme </w:t>
      </w:r>
      <w:r>
        <w:rPr>
          <w:b/>
          <w:i w:val="0"/>
        </w:rPr>
        <w:t>[NÜSHA]</w:t>
      </w:r>
      <w:r>
        <w:rPr>
          <w:b w:val="0"/>
          <w:i w:val="0"/>
        </w:rPr>
        <w:t xml:space="preserve"> nüsha imzalanmış; ekler taraflarca kabul edilmiştir.</w:t>
      </w:r>
    </w:p>
    <w:p>
      <w:pPr>
        <w:keepLines/>
        <w:widowControl/>
        <w:spacing w:before="240"/>
        <w:jc w:val="right"/>
      </w:pPr>
      <w:r>
        <w:rPr>
          <w:b w:val="0"/>
          <w:i w:val="0"/>
        </w:rPr>
        <w:t xml:space="preserve">Alıcı yetkilisi — </w:t>
      </w:r>
      <w:r>
        <w:rPr>
          <w:b/>
          <w:i w:val="0"/>
        </w:rPr>
        <w:t>[AD, SIFAT, İMZA]</w:t>
      </w:r>
      <w:r>
        <w:rPr>
          <w:b w:val="0"/>
          <w:i w:val="0"/>
        </w:rPr>
        <w:br/>
        <w:t xml:space="preserve">Tedarikçi yetkilisi — </w:t>
      </w:r>
      <w:r>
        <w:rPr>
          <w:b/>
          <w:i w:val="0"/>
        </w:rPr>
        <w:t>[AD, SIFAT, İMZA]</w:t>
      </w:r>
      <w:r>
        <w:rPr>
          <w:b w:val="0"/>
          <w:i w:val="0"/>
        </w:rPr>
      </w:r>
    </w:p>
    <w:p>
      <w:pPr>
        <w:pStyle w:val="Heading1"/>
        <w:widowControl/>
      </w:pPr>
      <w:r>
        <w:rPr>
          <w:b/>
          <w:i w:val="0"/>
        </w:rPr>
        <w:t>EKLER</w:t>
      </w:r>
    </w:p>
    <w:p>
      <w:pPr>
        <w:widowControl/>
      </w:pPr>
      <w:r>
        <w:rPr>
          <w:b w:val="0"/>
          <w:i w:val="0"/>
        </w:rPr>
        <w:t>1. Ek-1: Teknik şartname ve kalite planı</w:t>
      </w:r>
    </w:p>
    <w:p>
      <w:pPr>
        <w:widowControl/>
      </w:pPr>
      <w:r>
        <w:rPr>
          <w:b w:val="0"/>
          <w:i w:val="0"/>
        </w:rPr>
        <w:t>2. Ek-2: Fiyat ve teslim programı</w:t>
      </w:r>
    </w:p>
    <w:p>
      <w:pPr>
        <w:widowControl/>
      </w:pPr>
      <w:r>
        <w:rPr>
          <w:b w:val="0"/>
          <w:i w:val="0"/>
        </w:rPr>
        <w:t>3. Ek-3: Kalıp/numune ve fikrî varlık listesi</w:t>
      </w:r>
    </w:p>
    <w:p>
      <w:pPr>
        <w:widowControl/>
      </w:pPr>
      <w:r>
        <w:rPr>
          <w:b w:val="0"/>
          <w:i w:val="0"/>
        </w:rPr>
        <w:t>4. Ek-4: Sona erme hesaplama esasları</w:t>
      </w:r>
    </w:p>
    <w:p>
      <w:pPr>
        <w:widowControl/>
      </w:pPr>
      <w:r>
        <w:rPr>
          <w:b w:val="0"/>
          <w:i w:val="0"/>
        </w:rPr>
        <w:t>5. Temsil belgeleri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Tedarik Sözleşmesi</dc:title>
  <dc:subject>Ticaret ve Şirketler Hukuku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