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TEMİNATIN TESLİMİ, MUHAFAZASI VE İADESİ PROTOKOLÜ</w:t>
      </w:r>
    </w:p>
    <w:p>
      <w:pPr>
        <w:widowControl/>
        <w:spacing w:after="80"/>
      </w:pPr>
      <w:r>
        <w:rPr>
          <w:b/>
        </w:rPr>
        <w:t xml:space="preserve">Teminatı veren : </w:t>
      </w:r>
      <w:r>
        <w:t>[AD SOYAD / UNVAN, T.C. / VERGİ NO, ADRES]</w:t>
      </w:r>
    </w:p>
    <w:p>
      <w:pPr>
        <w:widowControl/>
        <w:spacing w:after="80"/>
      </w:pPr>
      <w:r>
        <w:rPr>
          <w:b/>
        </w:rPr>
        <w:t xml:space="preserve">Teminatı teslim alan : </w:t>
      </w:r>
      <w:r>
        <w:t>[AD SOYAD / UNVAN, T.C. / VERGİ NO, ADRES]</w:t>
      </w:r>
    </w:p>
    <w:p>
      <w:pPr>
        <w:widowControl/>
        <w:spacing w:after="80"/>
      </w:pPr>
      <w:r>
        <w:rPr>
          <w:b/>
        </w:rPr>
        <w:t xml:space="preserve">İmza tarihi ve yeri : </w:t>
      </w:r>
      <w:r>
        <w:t>[TARİH] / [YER]</w:t>
      </w:r>
    </w:p>
    <w:p>
      <w:pPr>
        <w:widowControl/>
        <w:spacing w:after="80"/>
      </w:pPr>
      <w:r>
        <w:rPr>
          <w:b/>
        </w:rPr>
        <w:t xml:space="preserve">Güvence altındaki ilişki : </w:t>
      </w:r>
      <w:r>
        <w:t>[SÖZLEŞME / İŞLEM, TARİH VE NO]</w:t>
      </w:r>
    </w:p>
    <w:p>
      <w:pPr>
        <w:widowControl/>
        <w:spacing w:after="80"/>
      </w:pPr>
      <w:r>
        <w:rPr>
          <w:b/>
        </w:rPr>
        <w:t xml:space="preserve">Teminatla karşılanacak belirli borçlar : </w:t>
      </w:r>
      <w:r>
        <w:t>[BORÇ TÜRÜ, KAPSAM, DÖNEM, ÜST SINIR]</w:t>
      </w:r>
    </w:p>
    <w:p>
      <w:pPr>
        <w:pStyle w:val="Heading1"/>
        <w:widowControl/>
      </w:pPr>
      <w:r>
        <w:rPr>
          <w:b/>
          <w:i w:val="0"/>
        </w:rPr>
        <w:t>1. Teslim edilen teminat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Tür</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Ayırt edici bilgi</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Tutar / değer</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Teslim şekli ve tarihi</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[NAKİT / BANKA TEMİNAT MEKTUBU / TAŞINIR / DİĞER]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[PARA BİRİMİ, BANKA-NO-VADE / MARKA-SERİ]</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[TARİH, BELGE NO]</w:t>
            </w:r>
            <w:r>
              <w:rPr>
                <w:b w:val="0"/>
                <w:i w:val="0"/>
                <w:sz w:val="22"/>
              </w:rPr>
            </w:r>
          </w:p>
        </w:tc>
      </w:tr>
    </w:tbl>
    <w:p>
      <w:pPr>
        <w:spacing w:after="40"/>
      </w:pPr>
    </w:p>
    <w:p>
      <w:pPr>
        <w:widowControl/>
        <w:jc w:val="both"/>
      </w:pPr>
      <w:r>
        <w:rPr>
          <w:b w:val="0"/>
          <w:i w:val="0"/>
        </w:rPr>
        <w:t xml:space="preserve">Teslim alan, yalnız tabloda gösterilen varlık/belgeyi belirtilen durumda teslim aldığını kabul eder. Bu protokol, kanunen tescil, zilyetliğin devri, bankanın kabulü veya başka şekil gereken bir teminat hakkını tek başına kurduğu anlamına gelmez. Özel kuruluş işleminin dayanağı </w:t>
      </w:r>
      <w:r>
        <w:rPr>
          <w:b/>
          <w:i w:val="0"/>
        </w:rPr>
        <w:t>[AYRI BELGE / TESCİL / YOK]</w:t>
      </w:r>
      <w:r>
        <w:rPr>
          <w:b w:val="0"/>
          <w:i w:val="0"/>
        </w:rPr>
        <w:t>tur.</w:t>
      </w:r>
    </w:p>
    <w:p>
      <w:pPr>
        <w:pStyle w:val="Heading1"/>
        <w:widowControl/>
      </w:pPr>
      <w:r>
        <w:rPr>
          <w:b/>
          <w:i w:val="0"/>
        </w:rPr>
        <w:t>2. Muhafaza ve kullanım sınırı</w:t>
      </w:r>
    </w:p>
    <w:p>
      <w:pPr>
        <w:widowControl/>
        <w:jc w:val="both"/>
      </w:pPr>
      <w:r>
        <w:rPr>
          <w:b w:val="0"/>
          <w:i w:val="0"/>
        </w:rPr>
        <w:t xml:space="preserve">Teminat </w:t>
      </w:r>
      <w:r>
        <w:rPr>
          <w:b/>
          <w:i w:val="0"/>
        </w:rPr>
        <w:t>[SAKLAMA YERİ / HESAP]</w:t>
      </w:r>
      <w:r>
        <w:rPr>
          <w:b w:val="0"/>
          <w:i w:val="0"/>
        </w:rPr>
        <w:t xml:space="preserve"> içinde </w:t>
      </w:r>
      <w:r>
        <w:rPr>
          <w:b/>
          <w:i w:val="0"/>
        </w:rPr>
        <w:t>[SORUMLU]</w:t>
      </w:r>
      <w:r>
        <w:rPr>
          <w:b w:val="0"/>
          <w:i w:val="0"/>
        </w:rPr>
        <w:t xml:space="preserve"> tarafından muhafaza edilir. Nakit için faiz/getiri ve kesinti düzeni </w:t>
      </w:r>
      <w:r>
        <w:rPr>
          <w:b/>
          <w:i w:val="0"/>
        </w:rPr>
        <w:t>[AÇIK DÜZENLEME]</w:t>
      </w:r>
      <w:r>
        <w:rPr>
          <w:b w:val="0"/>
          <w:i w:val="0"/>
        </w:rPr>
        <w:t xml:space="preserve">dir. Teminatın sözleşme dışındaki borca mahsup edilmesi, devredilmesi veya kullanılmasına ilişkin yetki </w:t>
      </w:r>
      <w:r>
        <w:rPr>
          <w:b/>
          <w:i w:val="0"/>
        </w:rPr>
        <w:t>[YOKTUR / GEÇERLİ ÖZEL DÜZENLEME]</w:t>
      </w:r>
      <w:r>
        <w:rPr>
          <w:b w:val="0"/>
          <w:i w:val="0"/>
        </w:rPr>
        <w:t>dir. Banka mektubunda garanti metni ve vade koşulları ayrıca geçerlidir.</w:t>
      </w:r>
    </w:p>
    <w:p>
      <w:pPr>
        <w:pStyle w:val="Heading1"/>
        <w:widowControl/>
      </w:pPr>
      <w:r>
        <w:rPr>
          <w:b/>
          <w:i w:val="0"/>
        </w:rPr>
        <w:t>3. Teminata başvuru koşulu</w:t>
      </w:r>
    </w:p>
    <w:p>
      <w:pPr>
        <w:widowControl/>
        <w:jc w:val="both"/>
      </w:pPr>
      <w:r>
        <w:rPr>
          <w:b w:val="0"/>
          <w:i w:val="0"/>
        </w:rPr>
        <w:t xml:space="preserve">Güvence kapsamındaki borç muaccel ve ödenmemişse, teslim alan </w:t>
      </w:r>
      <w:r>
        <w:rPr>
          <w:b/>
          <w:i w:val="0"/>
        </w:rPr>
        <w:t>[BORÇ DÖKÜMÜ, DAYANAK VE UYGUN BİLDİRİM]</w:t>
      </w:r>
      <w:r>
        <w:rPr>
          <w:b w:val="0"/>
          <w:i w:val="0"/>
        </w:rPr>
        <w:t xml:space="preserve"> ile </w:t>
      </w:r>
      <w:r>
        <w:rPr>
          <w:b/>
          <w:i w:val="0"/>
        </w:rPr>
        <w:t>[SÜRE]</w:t>
      </w:r>
      <w:r>
        <w:rPr>
          <w:b w:val="0"/>
          <w:i w:val="0"/>
        </w:rPr>
        <w:t xml:space="preserve"> içinde ifa ister. Teminata başvuru yalnız ilgili teminat türü için geçerli kanuni/sözleşmesel usulle yapılır. İhtilaflı tutarın veya teminat varlığının tek taraflı mülkiyete geçirilmesi konusunda kanuna aykırı bir yetki verilmemiştir.</w:t>
      </w:r>
    </w:p>
    <w:p>
      <w:pPr>
        <w:pStyle w:val="Heading1"/>
        <w:widowControl/>
      </w:pPr>
      <w:r>
        <w:rPr>
          <w:b/>
          <w:i w:val="0"/>
        </w:rPr>
        <w:t>4. İade ve mahsup hesabı</w:t>
      </w:r>
    </w:p>
    <w:p>
      <w:pPr>
        <w:widowControl/>
        <w:jc w:val="both"/>
      </w:pPr>
      <w:r>
        <w:rPr>
          <w:b w:val="0"/>
          <w:i w:val="0"/>
        </w:rPr>
        <w:t xml:space="preserve">Güvence kapsamındaki borçlar sona erdiğinde ve </w:t>
      </w:r>
      <w:r>
        <w:rPr>
          <w:b/>
          <w:i w:val="0"/>
        </w:rPr>
        <w:t>[SOMUT İADE KOŞULU]</w:t>
      </w:r>
      <w:r>
        <w:rPr>
          <w:b w:val="0"/>
          <w:i w:val="0"/>
        </w:rPr>
        <w:t xml:space="preserve"> gerçekleştiğinde teminat </w:t>
      </w:r>
      <w:r>
        <w:rPr>
          <w:b/>
          <w:i w:val="0"/>
        </w:rPr>
        <w:t>[GÜN]</w:t>
      </w:r>
      <w:r>
        <w:rPr>
          <w:b w:val="0"/>
          <w:i w:val="0"/>
        </w:rPr>
        <w:t xml:space="preserve"> içinde </w:t>
      </w:r>
      <w:r>
        <w:rPr>
          <w:b/>
          <w:i w:val="0"/>
        </w:rPr>
        <w:t>[YÖNTEM/IBAN]</w:t>
      </w:r>
      <w:r>
        <w:rPr>
          <w:b w:val="0"/>
          <w:i w:val="0"/>
        </w:rPr>
        <w:t xml:space="preserve"> ile iade edilir. Başvurulan tutar varsa borç, tahsilat, gider ve kalan teminatı gösteren hesap sunulur. Gereğinden fazla tahsil edilen kısım iade edilir. İade üçüncü bir kişinin haksız/ilgisiz onayına bağlanmaz.</w:t>
      </w:r>
    </w:p>
    <w:p>
      <w:pPr>
        <w:pStyle w:val="Heading1"/>
        <w:widowControl/>
        <w:keepNext/>
      </w:pPr>
      <w:r>
        <w:rPr>
          <w:b/>
          <w:i w:val="0"/>
        </w:rPr>
        <w:t>5. İade kaydı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keepNext/>
            </w:pPr>
            <w:r>
              <w:rPr>
                <w:b/>
                <w:i w:val="0"/>
                <w:sz w:val="22"/>
              </w:rPr>
              <w:t>İade tarihi</w:t>
            </w:r>
          </w:p>
        </w:tc>
        <w:tc>
          <w:tcPr>
            <w:tcW w:type="dxa" w:w="2339"/>
            <w:vAlign w:val="center"/>
            <w:tcMar>
              <w:top w:w="100" w:type="dxa"/>
              <w:left w:w="100" w:type="dxa"/>
              <w:bottom w:w="100" w:type="dxa"/>
              <w:right w:w="100" w:type="dxa"/>
            </w:tcMar>
            <w:shd w:fill="EAEDEF"/>
          </w:tcPr>
          <w:p>
            <w:pPr>
              <w:spacing w:after="0" w:before="0" w:line="252" w:lineRule="auto"/>
              <w:keepNext/>
            </w:pPr>
            <w:r>
              <w:rPr>
                <w:b/>
                <w:i w:val="0"/>
                <w:sz w:val="22"/>
              </w:rPr>
              <w:t>İade edilen tutar / belge</w:t>
            </w:r>
          </w:p>
        </w:tc>
        <w:tc>
          <w:tcPr>
            <w:tcW w:type="dxa" w:w="2339"/>
            <w:vAlign w:val="center"/>
            <w:tcMar>
              <w:top w:w="100" w:type="dxa"/>
              <w:left w:w="100" w:type="dxa"/>
              <w:bottom w:w="100" w:type="dxa"/>
              <w:right w:w="100" w:type="dxa"/>
            </w:tcMar>
            <w:shd w:fill="EAEDEF"/>
          </w:tcPr>
          <w:p>
            <w:pPr>
              <w:spacing w:after="0" w:before="0" w:line="252" w:lineRule="auto"/>
              <w:keepNext/>
            </w:pPr>
            <w:r>
              <w:rPr>
                <w:b/>
                <w:i w:val="0"/>
                <w:sz w:val="22"/>
              </w:rPr>
              <w:t>Kesinti ve dayanak</w:t>
            </w:r>
          </w:p>
        </w:tc>
        <w:tc>
          <w:tcPr>
            <w:tcW w:type="dxa" w:w="2339"/>
            <w:vAlign w:val="center"/>
            <w:tcMar>
              <w:top w:w="100" w:type="dxa"/>
              <w:left w:w="100" w:type="dxa"/>
              <w:bottom w:w="100" w:type="dxa"/>
              <w:right w:w="100" w:type="dxa"/>
            </w:tcMar>
            <w:shd w:fill="EAEDEF"/>
          </w:tcPr>
          <w:p>
            <w:pPr>
              <w:spacing w:after="0" w:before="0" w:line="252" w:lineRule="auto"/>
              <w:keepNext/>
            </w:pPr>
            <w:r>
              <w:rPr>
                <w:b/>
                <w:i w:val="0"/>
                <w:sz w:val="22"/>
              </w:rPr>
              <w:t>Kalan teminat</w:t>
            </w:r>
          </w:p>
        </w:tc>
      </w:tr>
      <w:tr>
        <w:trPr>
          <w:cantSplit/>
        </w:trPr>
        <w:tc>
          <w:tcPr>
            <w:tcW w:type="dxa" w:w="2339"/>
            <w:vAlign w:val="center"/>
            <w:tcMar>
              <w:top w:w="100" w:type="dxa"/>
              <w:left w:w="100" w:type="dxa"/>
              <w:bottom w:w="100" w:type="dxa"/>
              <w:right w:w="100" w:type="dxa"/>
            </w:tcMar>
          </w:tcPr>
          <w:p>
            <w:pPr>
              <w:spacing w:after="0" w:before="0" w:line="252" w:lineRule="auto"/>
              <w:jc w:val="center"/>
              <w:keepNext/>
            </w:pPr>
            <w:r>
              <w:rPr>
                <w:b w:val="0"/>
                <w:i w:val="0"/>
                <w:sz w:val="22"/>
              </w:rPr>
            </w:r>
            <w:r>
              <w:rPr>
                <w:b/>
                <w:i w:val="0"/>
                <w:sz w:val="22"/>
              </w:rPr>
              <w:t>[TARİH]</w:t>
            </w:r>
            <w:r>
              <w:rPr>
                <w:b w:val="0"/>
                <w:i w:val="0"/>
                <w:sz w:val="22"/>
              </w:rPr>
            </w:r>
          </w:p>
        </w:tc>
        <w:tc>
          <w:tcPr>
            <w:tcW w:type="dxa" w:w="2339"/>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[TUTAR / NO]</w:t>
            </w:r>
            <w:r>
              <w:rPr>
                <w:b w:val="0"/>
                <w:i w:val="0"/>
                <w:sz w:val="22"/>
              </w:rPr>
            </w:r>
          </w:p>
        </w:tc>
        <w:tc>
          <w:tcPr>
            <w:tcW w:type="dxa" w:w="2339"/>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[HESAP / YOK]</w:t>
            </w:r>
            <w:r>
              <w:rPr>
                <w:b w:val="0"/>
                <w:i w:val="0"/>
                <w:sz w:val="22"/>
              </w:rPr>
            </w:r>
          </w:p>
        </w:tc>
        <w:tc>
          <w:tcPr>
            <w:tcW w:type="dxa" w:w="2339"/>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[TUTAR / YOK]</w:t>
            </w:r>
            <w:r>
              <w:rPr>
                <w:b w:val="0"/>
                <w:i w:val="0"/>
                <w:sz w:val="22"/>
              </w:rPr>
            </w:r>
          </w:p>
        </w:tc>
      </w:tr>
    </w:tbl>
    <w:p>
      <w:pPr>
        <w:spacing w:after="40"/>
        <w:keepNext/>
      </w:pPr>
    </w:p>
    <w:p>
      <w:pPr>
        <w:widowControl/>
        <w:jc w:val="both"/>
        <w:keepNext/>
      </w:pPr>
      <w:r>
        <w:rPr>
          <w:b w:val="0"/>
          <w:i w:val="0"/>
        </w:rPr>
        <w:t xml:space="preserve">İade bölümü yalnız fiili iade sırasında doldurulur. İadeye ilişkin çekince </w:t>
      </w:r>
      <w:r>
        <w:rPr>
          <w:b/>
          <w:i w:val="0"/>
        </w:rPr>
        <w:t>[AÇIKLAMA / YOK]</w:t>
      </w:r>
      <w:r>
        <w:rPr>
          <w:b w:val="0"/>
          <w:i w:val="0"/>
        </w:rPr>
        <w:t>tur.</w:t>
      </w:r>
    </w:p>
    <w:p>
      <w:pPr>
        <w:keepLines/>
        <w:widowControl/>
        <w:spacing w:before="240"/>
        <w:jc w:val="right"/>
        <w:keepNext/>
      </w:pPr>
      <w:r>
        <w:rPr>
          <w:b w:val="0"/>
          <w:i w:val="0"/>
        </w:rPr>
        <w:t>Teslim aşaması: Teminatı veren</w:t>
        <w:br/>
      </w:r>
      <w:r>
        <w:rPr>
          <w:b/>
          <w:i w:val="0"/>
        </w:rPr>
        <w:t>[AD SOYAD, İMZA]</w:t>
      </w:r>
      <w:r>
        <w:rPr>
          <w:b w:val="0"/>
          <w:i w:val="0"/>
        </w:rPr>
        <w:br/>
        <w:t>Teslim aşaması: Teslim alan</w:t>
        <w:br/>
      </w:r>
      <w:r>
        <w:rPr>
          <w:b/>
          <w:i w:val="0"/>
        </w:rPr>
        <w:t>[AD SOYAD, İMZA]</w:t>
      </w:r>
      <w:r>
        <w:rPr>
          <w:b w:val="0"/>
          <w:i w:val="0"/>
        </w:rPr>
        <w:br/>
        <w:t>İade aşaması: İade eden ve alan</w:t>
        <w:br/>
      </w:r>
      <w:r>
        <w:rPr>
          <w:b/>
          <w:i w:val="0"/>
        </w:rPr>
        <w:t>[HER İKİ TARAFIN AD SOYADI, TARİH, İMZASI]</w:t>
      </w:r>
      <w:r>
        <w:rPr>
          <w:b w:val="0"/>
          <w:i w:val="0"/>
        </w:rPr>
      </w:r>
    </w:p>
    <w:p>
      <w:pPr>
        <w:pStyle w:val="Heading1"/>
        <w:widowControl/>
        <w:keepNext/>
      </w:pPr>
      <w:r>
        <w:rPr>
          <w:b/>
          <w:i w:val="0"/>
        </w:rPr>
        <w:t>EKLER</w:t>
      </w:r>
    </w:p>
    <w:p>
      <w:pPr>
        <w:widowControl/>
        <w:keepNext/>
      </w:pPr>
      <w:r>
        <w:rPr>
          <w:b w:val="0"/>
          <w:i w:val="0"/>
        </w:rPr>
        <w:t>1. Dayanak sözleşme</w:t>
      </w:r>
    </w:p>
    <w:p>
      <w:pPr>
        <w:widowControl/>
        <w:keepNext/>
      </w:pPr>
      <w:r>
        <w:rPr>
          <w:b w:val="0"/>
          <w:i w:val="0"/>
        </w:rPr>
        <w:t>2. Teminat belgesi/dekont</w:t>
      </w:r>
    </w:p>
    <w:p>
      <w:pPr>
        <w:widowControl/>
        <w:keepNext/>
      </w:pPr>
      <w:r>
        <w:rPr>
          <w:b w:val="0"/>
          <w:i w:val="0"/>
        </w:rPr>
        <w:t>3. Varsa özel şekil veya tescil belgesi</w:t>
      </w:r>
    </w:p>
    <w:p>
      <w:pPr>
        <w:widowControl/>
      </w:pPr>
      <w:r>
        <w:rPr>
          <w:b w:val="0"/>
          <w:i w:val="0"/>
        </w:rPr>
        <w:t>4. İade ve mahsup hesabı</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Teminat Teslim ve İade Protokolü</dc:title>
  <dc:subject>Sözleşmeler ve Borç İlişkileri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