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TRAFİK KAZASI MADDİ ZARAR SULH PROTOKOLÜ</w:t>
      </w:r>
    </w:p>
    <w:p>
      <w:pPr>
        <w:widowControl/>
        <w:spacing w:after="80"/>
      </w:pPr>
      <w:r>
        <w:rPr>
          <w:b/>
        </w:rPr>
        <w:t xml:space="preserve">Zarar gören : </w:t>
      </w:r>
      <w:r>
        <w:t>[AD SOYAD/UNVAN, KİMLİK/VERGİ NO, ADRES]</w:t>
      </w:r>
    </w:p>
    <w:p>
      <w:pPr>
        <w:widowControl/>
        <w:spacing w:after="80"/>
      </w:pPr>
      <w:r>
        <w:rPr>
          <w:b/>
        </w:rPr>
        <w:t xml:space="preserve">Ödemeyi üstlenen : </w:t>
      </w:r>
      <w:r>
        <w:t>[AD SOYAD/UNVAN, KİMLİK/VERGİ NO, ADRES]</w:t>
      </w:r>
    </w:p>
    <w:p>
      <w:pPr>
        <w:widowControl/>
        <w:spacing w:after="80"/>
      </w:pPr>
      <w:r>
        <w:rPr>
          <w:b/>
        </w:rPr>
        <w:t xml:space="preserve">Kaza : </w:t>
      </w:r>
      <w:r>
        <w:t>[TARİH, YER, PLAKALAR]</w:t>
      </w:r>
    </w:p>
    <w:p>
      <w:pPr>
        <w:widowControl/>
        <w:spacing w:after="80"/>
      </w:pPr>
      <w:r>
        <w:rPr>
          <w:b/>
        </w:rPr>
        <w:t xml:space="preserve">Düzenleme : </w:t>
      </w:r>
      <w:r>
        <w:t>[TARİH, YER]</w:t>
      </w:r>
    </w:p>
    <w:p>
      <w:pPr>
        <w:pStyle w:val="Heading1"/>
        <w:widowControl/>
      </w:pPr>
      <w:r>
        <w:rPr>
          <w:b/>
          <w:i w:val="0"/>
        </w:rPr>
        <w:t>1. Uyuşmazlık ve kapsam</w:t>
      </w:r>
    </w:p>
    <w:p>
      <w:pPr>
        <w:widowControl/>
        <w:jc w:val="both"/>
      </w:pPr>
      <w:r>
        <w:rPr>
          <w:b w:val="0"/>
          <w:i w:val="0"/>
        </w:rPr>
        <w:t xml:space="preserve">Taraflar yukarıda belirtilen kazanın yalnız aşağıdaki tabloda açıkça sayılan maddi zarar kalemleri bakımından uyuşmazlığı sulh yoluyla çözmeyi amaçlar. Kusur ve zarar hakkında farklı görüşler mevcutsa </w:t>
      </w:r>
      <w:r>
        <w:rPr>
          <w:b/>
          <w:i w:val="0"/>
        </w:rPr>
        <w:t>[GÖRÜŞLER]</w:t>
      </w:r>
      <w:r>
        <w:rPr>
          <w:b w:val="0"/>
          <w:i w:val="0"/>
        </w:rPr>
        <w:t xml:space="preserve"> olarak kaydedilmiştir. Bu protokol bir mahkeme kararı veya resmî arabuluculuk anlaşması değildir.</w:t>
      </w:r>
    </w:p>
    <w:p>
      <w:pPr>
        <w:pStyle w:val="Heading1"/>
        <w:widowControl/>
      </w:pPr>
      <w:r>
        <w:rPr>
          <w:b/>
          <w:i w:val="0"/>
        </w:rPr>
        <w:t>2. Bedel ve ödeme</w:t>
      </w:r>
    </w:p>
    <w:p>
      <w:pPr>
        <w:widowControl/>
        <w:jc w:val="both"/>
      </w:pPr>
      <w:r>
        <w:rPr>
          <w:b w:val="0"/>
          <w:i w:val="0"/>
        </w:rPr>
        <w:t xml:space="preserve">Sulh bedeli toplam </w:t>
      </w:r>
      <w:r>
        <w:rPr>
          <w:b/>
          <w:i w:val="0"/>
        </w:rPr>
        <w:t>[TUTAR]</w:t>
      </w:r>
      <w:r>
        <w:rPr>
          <w:b w:val="0"/>
          <w:i w:val="0"/>
        </w:rPr>
        <w:t xml:space="preserve"> TL’dir. </w:t>
      </w:r>
      <w:r>
        <w:rPr>
          <w:b/>
          <w:i w:val="0"/>
        </w:rPr>
        <w:t>[PEŞİN TUTAR]</w:t>
      </w:r>
      <w:r>
        <w:rPr>
          <w:b w:val="0"/>
          <w:i w:val="0"/>
        </w:rPr>
        <w:t xml:space="preserve"> TL </w:t>
      </w:r>
      <w:r>
        <w:rPr>
          <w:b/>
          <w:i w:val="0"/>
        </w:rPr>
        <w:t>[TARİH]</w:t>
      </w:r>
      <w:r>
        <w:rPr>
          <w:b w:val="0"/>
          <w:i w:val="0"/>
        </w:rPr>
        <w:t xml:space="preserve"> tarihinde, kalan </w:t>
      </w:r>
      <w:r>
        <w:rPr>
          <w:b/>
          <w:i w:val="0"/>
        </w:rPr>
        <w:t>[TUTAR]</w:t>
      </w:r>
      <w:r>
        <w:rPr>
          <w:b w:val="0"/>
          <w:i w:val="0"/>
        </w:rPr>
        <w:t xml:space="preserve"> TL Ek-1 takvimine göre zarar gören adına </w:t>
      </w:r>
      <w:r>
        <w:rPr>
          <w:b/>
          <w:i w:val="0"/>
        </w:rPr>
        <w:t>[IBAN]</w:t>
      </w:r>
      <w:r>
        <w:rPr>
          <w:b w:val="0"/>
          <w:i w:val="0"/>
        </w:rPr>
        <w:t xml:space="preserve"> hesabına ödenir. Banka masrafı </w:t>
      </w:r>
      <w:r>
        <w:rPr>
          <w:b/>
          <w:i w:val="0"/>
        </w:rPr>
        <w:t>[TARAF]</w:t>
      </w:r>
      <w:r>
        <w:rPr>
          <w:b w:val="0"/>
          <w:i w:val="0"/>
        </w:rPr>
        <w:t>a aittir. Ödeme açıklamasında kaza tarihi ve taksit numarası yazılır; fiilen hesaba geçmeyen tutar ödenmiş sayılmaz.</w:t>
      </w:r>
    </w:p>
    <w:p>
      <w:pPr>
        <w:pStyle w:val="Heading1"/>
        <w:widowControl/>
      </w:pPr>
      <w:r>
        <w:rPr>
          <w:b/>
          <w:i w:val="0"/>
        </w:rPr>
        <w:t>3. Mahsup ve ibra koşulu</w:t>
      </w:r>
    </w:p>
    <w:p>
      <w:pPr>
        <w:widowControl/>
        <w:jc w:val="both"/>
      </w:pPr>
      <w:r>
        <w:rPr>
          <w:b w:val="0"/>
          <w:i w:val="0"/>
        </w:rPr>
        <w:t xml:space="preserve">Önceki sigorta veya diğer kişi ödemeleri </w:t>
      </w:r>
      <w:r>
        <w:rPr>
          <w:b/>
          <w:i w:val="0"/>
        </w:rPr>
        <w:t>[TARİH/TUTAR/KALEM]</w:t>
      </w:r>
      <w:r>
        <w:rPr>
          <w:b w:val="0"/>
          <w:i w:val="0"/>
        </w:rPr>
        <w:t xml:space="preserve"> olarak aşağıdaki tabloda düşülmüştür. İbra yalnız bu protokolde sayılan zararlar yönünden ve sulh bedelinin tamamen ödenmesiyle hüküm doğurur. Kısmi ödeme hâlinde yalnız ödenen miktar borçtan düşer; tam ibra gerçekleşmiş sayılmaz.</w:t>
      </w:r>
    </w:p>
    <w:p>
      <w:pPr>
        <w:pStyle w:val="Heading1"/>
        <w:widowControl/>
      </w:pPr>
      <w:r>
        <w:rPr>
          <w:b/>
          <w:i w:val="0"/>
        </w:rPr>
        <w:t>4. Kapsam dışında kalanlar</w:t>
      </w:r>
    </w:p>
    <w:p>
      <w:pPr>
        <w:widowControl/>
        <w:jc w:val="both"/>
      </w:pPr>
      <w:r>
        <w:rPr>
          <w:b w:val="0"/>
          <w:i w:val="0"/>
        </w:rPr>
        <w:t>Bedensel zarar, ileride ortaya çıkabilecek sağlık sonuçları, manevi tazminat, üçüncü kişi hakları ve tabloda yer almayan kalemler bu protokolün dışındadır. Bu konuların ayrıca sulh edilmesi isteniyorsa hak sahibi, zarar ve hukuki sonuçları değerlendiren ayrı ve açık düzenleme yapılır.</w:t>
      </w:r>
    </w:p>
    <w:p>
      <w:pPr>
        <w:pStyle w:val="Heading1"/>
        <w:widowControl/>
      </w:pPr>
      <w:r>
        <w:rPr>
          <w:b/>
          <w:i w:val="0"/>
        </w:rPr>
        <w:t>5. Gecikme ve mevcut dosyalar</w:t>
      </w:r>
    </w:p>
    <w:p>
      <w:pPr>
        <w:widowControl/>
        <w:jc w:val="both"/>
      </w:pPr>
      <w:r>
        <w:rPr>
          <w:b w:val="0"/>
          <w:i w:val="0"/>
        </w:rPr>
        <w:t xml:space="preserve">Taksit zamanında ödenmezse ödenmeyen tutar için </w:t>
      </w:r>
      <w:r>
        <w:rPr>
          <w:b/>
          <w:i w:val="0"/>
        </w:rPr>
        <w:t>[GEÇERLİ FAİZ TÜRÜ VE BAŞLANGICI]</w:t>
      </w:r>
      <w:r>
        <w:rPr>
          <w:b w:val="0"/>
          <w:i w:val="0"/>
        </w:rPr>
        <w:t xml:space="preserve"> uygulanır. Varsa muacceliyet koşulu </w:t>
      </w:r>
      <w:r>
        <w:rPr>
          <w:b/>
          <w:i w:val="0"/>
        </w:rPr>
        <w:t>[BİLDİRİM/SÜRE/KOŞUL]</w:t>
      </w:r>
      <w:r>
        <w:rPr>
          <w:b w:val="0"/>
          <w:i w:val="0"/>
        </w:rPr>
        <w:t xml:space="preserve"> olarak açıkça belirlenir. Mevcut dava veya icra dosyasında yapılacak işlem </w:t>
      </w:r>
      <w:r>
        <w:rPr>
          <w:b/>
          <w:i w:val="0"/>
        </w:rPr>
        <w:t>[DOSYA, İŞLEM, ZAMAN]</w:t>
      </w:r>
      <w:r>
        <w:rPr>
          <w:b w:val="0"/>
          <w:i w:val="0"/>
        </w:rPr>
        <w:t>dır; ödeme gerçekleşmeden otomatik feragat veya takipten vazgeçme kararlaştırılmamıştır.</w:t>
      </w:r>
    </w:p>
    <w:p>
      <w:pPr>
        <w:pStyle w:val="Heading1"/>
        <w:widowControl/>
      </w:pPr>
      <w:r>
        <w:rPr>
          <w:b/>
          <w:i w:val="0"/>
        </w:rPr>
        <w:t>6. Sigorta ve ceza süreci</w:t>
      </w:r>
    </w:p>
    <w:p>
      <w:pPr>
        <w:widowControl/>
        <w:jc w:val="both"/>
      </w:pPr>
      <w:r>
        <w:rPr>
          <w:b w:val="0"/>
          <w:i w:val="0"/>
        </w:rPr>
        <w:t>Aynı zarar iki kez tahsil edilmez; sonradan alınan ödeme ilgili kaleme mahsup edilir. Üçüncü kişi sigortacının taraf olmadığı bu protokol onun kanuni hak ve yükümlülüklerini kendiliğinden değiştirmez. Bu özel hukuk sulhü resmî ceza uzlaştırması veya şikâyetten vazgeçme yerine geçmez.</w:t>
      </w:r>
    </w:p>
    <w:p>
      <w:pPr>
        <w:pStyle w:val="Heading1"/>
        <w:widowControl/>
      </w:pPr>
      <w:r>
        <w:rPr>
          <w:b/>
          <w:i w:val="0"/>
        </w:rPr>
        <w:t>7. Son hükümler</w:t>
      </w:r>
    </w:p>
    <w:p>
      <w:pPr>
        <w:widowControl/>
        <w:jc w:val="both"/>
      </w:pPr>
      <w:r>
        <w:rPr>
          <w:b w:val="0"/>
          <w:i w:val="0"/>
        </w:rPr>
        <w:t xml:space="preserve">Taraflar hesap ve kapsamı inceleyerek imzalamıştır. KTK 111 kapsamındaki emredici hükümler ve yetersiz/fahiş tazminat anlaşmalarına ilişkin kanuni haklar saklıdır. Değişiklikler yazılı yapılır; ekler taraflarca imzalanır. Protokol </w:t>
      </w:r>
      <w:r>
        <w:rPr>
          <w:b/>
          <w:i w:val="0"/>
        </w:rPr>
        <w:t>[NÜSHA]</w:t>
      </w:r>
      <w:r>
        <w:rPr>
          <w:b w:val="0"/>
          <w:i w:val="0"/>
        </w:rPr>
        <w:t xml:space="preserve"> nüsha düzenlenmiştir.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39"/>
        <w:gridCol w:w="2339"/>
        <w:gridCol w:w="2339"/>
        <w:gridCol w:w="2339"/>
      </w:tblGrid>
      <w:tr>
        <w:trPr>
          <w:cantSplit/>
          <w:tblHeader/>
        </w:trPr>
        <w:tc>
          <w:tcPr>
            <w:tcW w:type="dxa" w:w="2339"/>
            <w:vAlign w:val="center"/>
            <w:tcMar>
              <w:top w:w="100" w:type="dxa"/>
              <w:left w:w="100" w:type="dxa"/>
              <w:bottom w:w="100" w:type="dxa"/>
              <w:right w:w="100" w:type="dxa"/>
            </w:tcMar>
            <w:shd w:fill="EAEDEF"/>
          </w:tcPr>
          <w:p>
            <w:pPr>
              <w:spacing w:after="0" w:before="0" w:line="252" w:lineRule="auto"/>
              <w:jc w:val="center"/>
            </w:pPr>
            <w:r>
              <w:rPr>
                <w:b/>
                <w:i w:val="0"/>
                <w:sz w:val="22"/>
              </w:rPr>
              <w:t>Sulh edilen kalem</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Anlaşılan tutar</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Önceki ödeme</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Kalan sulh bedeli</w:t>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[ONARIM]</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[DEĞER KAYBI / MAHRUMİYET]</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bl>
    <w:p>
      <w:pPr>
        <w:spacing w:after="40"/>
      </w:pPr>
    </w:p>
    <w:p>
      <w:pPr>
        <w:keepLines/>
        <w:widowControl/>
        <w:spacing w:before="240"/>
        <w:jc w:val="right"/>
      </w:pPr>
      <w:r>
        <w:rPr>
          <w:b w:val="0"/>
          <w:i w:val="0"/>
        </w:rPr>
        <w:t xml:space="preserve">Zarar gören / özel yetkili vekili — </w:t>
      </w:r>
      <w:r>
        <w:rPr>
          <w:b/>
          <w:i w:val="0"/>
        </w:rPr>
        <w:t>[AD / İMZA]</w:t>
      </w:r>
      <w:r>
        <w:rPr>
          <w:b w:val="0"/>
          <w:i w:val="0"/>
        </w:rPr>
        <w:br/>
        <w:t xml:space="preserve">Ödemeyi üstlenen / yetkilisi — </w:t>
      </w:r>
      <w:r>
        <w:rPr>
          <w:b/>
          <w:i w:val="0"/>
        </w:rPr>
        <w:t>[AD / İMZA]</w:t>
      </w:r>
      <w:r>
        <w:rPr>
          <w:b w:val="0"/>
          <w:i w:val="0"/>
        </w:rPr>
      </w:r>
    </w:p>
    <w:p>
      <w:pPr>
        <w:pStyle w:val="Heading1"/>
        <w:widowControl/>
      </w:pPr>
      <w:r>
        <w:rPr>
          <w:b/>
          <w:i w:val="0"/>
        </w:rPr>
        <w:t>EKLER</w:t>
      </w:r>
    </w:p>
    <w:p>
      <w:pPr>
        <w:widowControl/>
      </w:pPr>
      <w:r>
        <w:rPr>
          <w:b w:val="0"/>
          <w:i w:val="0"/>
        </w:rPr>
        <w:t>1. Zarar hesap ve raporları</w:t>
      </w:r>
    </w:p>
    <w:p>
      <w:pPr>
        <w:widowControl/>
      </w:pPr>
      <w:r>
        <w:rPr>
          <w:b w:val="0"/>
          <w:i w:val="0"/>
        </w:rPr>
        <w:t>2. Önceki ödeme belgeleri</w:t>
      </w:r>
    </w:p>
    <w:p>
      <w:pPr>
        <w:widowControl/>
      </w:pPr>
      <w:r>
        <w:rPr>
          <w:b w:val="0"/>
          <w:i w:val="0"/>
        </w:rPr>
        <w:t>3. Ek-1: Taksit takvimi</w:t>
      </w:r>
    </w:p>
    <w:p>
      <w:pPr>
        <w:widowControl/>
      </w:pPr>
      <w:r>
        <w:rPr>
          <w:b w:val="0"/>
          <w:i w:val="0"/>
        </w:rPr>
        <w:t>4. Varsa sulh/ibra yetkili vekâletname</w:t>
      </w:r>
    </w:p>
    <w:p>
      <w:pPr>
        <w:widowControl/>
      </w:pPr>
      <w:r>
        <w:rPr>
          <w:b w:val="0"/>
          <w:i w:val="0"/>
        </w:rPr>
        <w:t>5. Mevcut dosya bilgileri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Trafik Kazası Sulh Protokolü</dc:title>
  <dc:subject>Trafik ve Sigorta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