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[YETKİLİ YER]</w:t>
      </w:r>
      <w:r>
        <w:rPr>
          <w:b/>
          <w:i w:val="0"/>
        </w:rPr>
        <w:t xml:space="preserve"> NÖBETÇİ </w:t>
      </w:r>
      <w:r>
        <w:rPr>
          <w:b/>
          <w:i w:val="0"/>
        </w:rPr>
        <w:t>[GÖREVLİ MAHKEME TÜRÜ]</w:t>
      </w:r>
      <w:r>
        <w:rPr>
          <w:b/>
          <w:i w:val="0"/>
        </w:rPr>
        <w:t xml:space="preserve"> MAHKEMESİNE</w:t>
      </w:r>
    </w:p>
    <w:p>
      <w:pPr>
        <w:widowControl/>
        <w:spacing w:after="80"/>
      </w:pPr>
      <w:r>
        <w:rPr>
          <w:b/>
        </w:rPr>
        <w:t xml:space="preserve">Davacı : </w:t>
      </w:r>
      <w:r>
        <w:t>[AD SOYAD/UNVAN, KİMLİK/PASAPORT, ADRES]</w:t>
      </w:r>
    </w:p>
    <w:p>
      <w:pPr>
        <w:widowControl/>
        <w:spacing w:after="80"/>
      </w:pPr>
      <w:r>
        <w:rPr>
          <w:b/>
        </w:rPr>
        <w:t xml:space="preserve">Varsa vekili : </w:t>
      </w:r>
      <w:r>
        <w:t>[AVUKAT ADI, ADRES/UETS]</w:t>
      </w:r>
    </w:p>
    <w:p>
      <w:pPr>
        <w:widowControl/>
        <w:spacing w:after="80"/>
      </w:pPr>
      <w:r>
        <w:rPr>
          <w:b/>
        </w:rPr>
        <w:t xml:space="preserve">Davalı : </w:t>
      </w:r>
      <w:r>
        <w:t>[AD SOYAD/UNVAN, YURT İÇİ/YURT DIŞI TAM ADRES]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[ÜLKE, MAHKEME, TARİH VE DOSYA NO] kararının [HÜKÜM] yönünden tanınması</w:t>
      </w:r>
    </w:p>
    <w:p>
      <w:pPr>
        <w:pStyle w:val="Heading1"/>
        <w:widowControl/>
      </w:pPr>
      <w:r>
        <w:rPr>
          <w:b/>
          <w:i w:val="0"/>
        </w:rPr>
        <w:t>I. YABANCI KARAR VE HUKUKİ YARAR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[ÜLKE/MAHKEME]</w:t>
      </w:r>
      <w:r>
        <w:rPr>
          <w:b w:val="0"/>
          <w:i w:val="0"/>
        </w:rPr>
        <w:t xml:space="preserve"> tarafından görülen </w:t>
      </w:r>
      <w:r>
        <w:rPr>
          <w:b/>
          <w:i w:val="0"/>
        </w:rPr>
        <w:t>[DAVANIN KONUSU]</w:t>
      </w:r>
      <w:r>
        <w:rPr>
          <w:b w:val="0"/>
          <w:i w:val="0"/>
        </w:rPr>
        <w:t xml:space="preserve"> hakkında </w:t>
      </w:r>
      <w:r>
        <w:rPr>
          <w:b/>
          <w:i w:val="0"/>
        </w:rPr>
        <w:t>[TARİH, DOSYA/KARAR NO]</w:t>
      </w:r>
      <w:r>
        <w:rPr>
          <w:b w:val="0"/>
          <w:i w:val="0"/>
        </w:rPr>
        <w:t xml:space="preserve"> karar verilmiştir. Hükmün tanınması istenen kısmı “</w:t>
      </w:r>
      <w:r>
        <w:rPr>
          <w:b/>
          <w:i w:val="0"/>
        </w:rPr>
        <w:t>[HÜKÜM FIKRASININ İLGİLİ KISMI]</w:t>
      </w:r>
      <w:r>
        <w:rPr>
          <w:b w:val="0"/>
          <w:i w:val="0"/>
        </w:rPr>
        <w:t xml:space="preserve">”dır. Karar verildiği devlet hukukuna göre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kesinleşmiş olup onaylı karar ve kesinleşme belgesi tercümeleriyle ektedir.</w:t>
      </w:r>
    </w:p>
    <w:p>
      <w:pPr>
        <w:widowControl/>
        <w:jc w:val="both"/>
      </w:pPr>
      <w:r>
        <w:rPr>
          <w:b w:val="0"/>
          <w:i w:val="0"/>
        </w:rPr>
        <w:t xml:space="preserve">2. Tanıma istemindeki hukuki yararım </w:t>
      </w:r>
      <w:r>
        <w:rPr>
          <w:b/>
          <w:i w:val="0"/>
        </w:rPr>
        <w:t>[NÜFUS STATÜSÜ/KESİN HÜKÜM VEYA KESİN DELİL ETKİSİNDEN YARARLANMA]</w:t>
      </w:r>
      <w:r>
        <w:rPr>
          <w:b w:val="0"/>
          <w:i w:val="0"/>
        </w:rPr>
        <w:t xml:space="preserve">dır. Bu davada bir para veya teslim hükmünün zorla icrası istenmemektedir. Varsa kararın diğer hükümleri ve bunlar yönünden ayrı süreç </w:t>
      </w:r>
      <w:r>
        <w:rPr>
          <w:b/>
          <w:i w:val="0"/>
        </w:rPr>
        <w:t>[AÇIKLAMA]</w:t>
      </w:r>
      <w:r>
        <w:rPr>
          <w:b w:val="0"/>
          <w:i w:val="0"/>
        </w:rPr>
        <w:t>dır.</w:t>
      </w:r>
    </w:p>
    <w:p>
      <w:pPr>
        <w:pStyle w:val="Heading1"/>
        <w:widowControl/>
      </w:pPr>
      <w:r>
        <w:rPr>
          <w:b/>
          <w:i w:val="0"/>
        </w:rPr>
        <w:t>II. GÖREV VE YETKİ</w:t>
      </w:r>
    </w:p>
    <w:p>
      <w:pPr>
        <w:widowControl/>
        <w:jc w:val="both"/>
      </w:pPr>
      <w:r>
        <w:rPr>
          <w:b w:val="0"/>
          <w:i w:val="0"/>
        </w:rPr>
        <w:t xml:space="preserve">3. Kararın konusu </w:t>
      </w:r>
      <w:r>
        <w:rPr>
          <w:b/>
          <w:i w:val="0"/>
        </w:rPr>
        <w:t>[AİLE/HUKUKİ İLİŞKİ]</w:t>
      </w:r>
      <w:r>
        <w:rPr>
          <w:b w:val="0"/>
          <w:i w:val="0"/>
        </w:rPr>
        <w:t xml:space="preserve"> olduğundan görevli mahkeme </w:t>
      </w:r>
      <w:r>
        <w:rPr>
          <w:b/>
          <w:i w:val="0"/>
        </w:rPr>
        <w:t>[HUKUKİ DAYANAKLA SEÇİLEN MAHKEME]</w:t>
      </w:r>
      <w:r>
        <w:rPr>
          <w:b w:val="0"/>
          <w:i w:val="0"/>
        </w:rPr>
        <w:t xml:space="preserve">dir. MÖHUK 51 kapsamında davalının Türkiye’de yerleşim yeri </w:t>
      </w:r>
      <w:r>
        <w:rPr>
          <w:b/>
          <w:i w:val="0"/>
        </w:rPr>
        <w:t>[YER]</w:t>
      </w:r>
      <w:r>
        <w:rPr>
          <w:b w:val="0"/>
          <w:i w:val="0"/>
        </w:rPr>
        <w:t xml:space="preserve">, yoksa sakin olduğu yer </w:t>
      </w:r>
      <w:r>
        <w:rPr>
          <w:b/>
          <w:i w:val="0"/>
        </w:rPr>
        <w:t>[YER]</w:t>
      </w:r>
      <w:r>
        <w:rPr>
          <w:b w:val="0"/>
          <w:i w:val="0"/>
        </w:rPr>
        <w:t xml:space="preserve">dir. İkisi de yoksa kanunda sayılan Ankara, İstanbul veya İzmir mahkemelerinden </w:t>
      </w:r>
      <w:r>
        <w:rPr>
          <w:b/>
          <w:i w:val="0"/>
        </w:rPr>
        <w:t>[SEÇİLEN YER]</w:t>
      </w:r>
      <w:r>
        <w:rPr>
          <w:b w:val="0"/>
          <w:i w:val="0"/>
        </w:rPr>
        <w:t xml:space="preserve"> esas alınmıştır.</w:t>
      </w:r>
    </w:p>
    <w:p>
      <w:pPr>
        <w:pStyle w:val="Heading1"/>
        <w:widowControl/>
      </w:pPr>
      <w:r>
        <w:rPr>
          <w:b/>
          <w:i w:val="0"/>
        </w:rPr>
        <w:t>III. TANIMA KOŞULLARI</w:t>
      </w:r>
    </w:p>
    <w:p>
      <w:pPr>
        <w:widowControl/>
        <w:jc w:val="both"/>
      </w:pPr>
      <w:r>
        <w:rPr>
          <w:b w:val="0"/>
          <w:i w:val="0"/>
        </w:rPr>
        <w:t xml:space="preserve">4. Yabancı karar hukuk davasına ilişkin olup kesinleşmiştir. Hüküm Türk mahkemelerinin münhasır yetkisindeki </w:t>
      </w:r>
      <w:r>
        <w:rPr>
          <w:b/>
          <w:i w:val="0"/>
        </w:rPr>
        <w:t>[VARSA İNCELEME KONUSU]</w:t>
      </w:r>
      <w:r>
        <w:rPr>
          <w:b w:val="0"/>
          <w:i w:val="0"/>
        </w:rPr>
        <w:t xml:space="preserve">na aykırılık taşımamaktadır. Davalının yabancı yargılamaya çağrılması, temsil ve savunma durumu </w:t>
      </w:r>
      <w:r>
        <w:rPr>
          <w:b/>
          <w:i w:val="0"/>
        </w:rPr>
        <w:t>[TEBLİĞ/VEKİL/DURUŞMA KAYDI]</w:t>
      </w:r>
      <w:r>
        <w:rPr>
          <w:b w:val="0"/>
          <w:i w:val="0"/>
        </w:rPr>
        <w:t xml:space="preserve"> ile gösterilmektedir. Yargılama konusu ve mahkemenin uyuşmazlıkla gerçek bağlantısı </w:t>
      </w:r>
      <w:r>
        <w:rPr>
          <w:b/>
          <w:i w:val="0"/>
        </w:rPr>
        <w:t>[BAĞLANTI]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 xml:space="preserve">5. Tanınacak hukuki sonucun Türk kamu düzenine açıkça aykırı olmadığı </w:t>
      </w:r>
      <w:r>
        <w:rPr>
          <w:b/>
          <w:i w:val="0"/>
        </w:rPr>
        <w:t>[SOMUT KONUYA ÖZGÜ AÇIKLAMA]</w:t>
      </w:r>
      <w:r>
        <w:rPr>
          <w:b w:val="0"/>
          <w:i w:val="0"/>
        </w:rPr>
        <w:t xml:space="preserve"> ile açıklanmıştır. MÖHUK 58 uyarınca tanımada 54/1-a karşılıklılık şartı aranmaz. Yabancı kararın esasının yeniden görülmesi veya yeni bir hüküm kurulması talep edilmemektedir.</w:t>
      </w:r>
    </w:p>
    <w:p>
      <w:pPr>
        <w:pStyle w:val="Heading1"/>
        <w:widowControl/>
      </w:pPr>
      <w:r>
        <w:rPr>
          <w:b/>
          <w:i w:val="0"/>
        </w:rPr>
        <w:t>DELİLLER / HUKUKİ NEDENLER</w:t>
      </w:r>
    </w:p>
    <w:p>
      <w:pPr>
        <w:widowControl/>
        <w:jc w:val="both"/>
      </w:pPr>
      <w:r>
        <w:rPr>
          <w:b w:val="0"/>
          <w:i w:val="0"/>
        </w:rPr>
        <w:t>Usulüne uygun onaylı yabancı ilam ve Türkçe tercümesi; kesinleşme belgesi ve tercümesi; gerekiyorsa apostil/konsolosluk tasdiki; tebligat/temsil kayıtları; kimlik ve hukuki yarar belgeleri; 5718 m. 50–59, ilgili milletlerarası sözleşmeler ve görev bakımından uygulanabilir mevzuat.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[ÜLKE/MAHKEME]</w:t>
      </w:r>
      <w:r>
        <w:rPr>
          <w:b w:val="0"/>
          <w:i w:val="0"/>
        </w:rPr>
        <w:t xml:space="preserve">nin </w:t>
      </w:r>
      <w:r>
        <w:rPr>
          <w:b/>
          <w:i w:val="0"/>
        </w:rPr>
        <w:t>[TARİH/NO]</w:t>
      </w:r>
      <w:r>
        <w:rPr>
          <w:b w:val="0"/>
          <w:i w:val="0"/>
        </w:rPr>
        <w:t xml:space="preserve"> sayılı, </w:t>
      </w:r>
      <w:r>
        <w:rPr>
          <w:b/>
          <w:i w:val="0"/>
        </w:rPr>
        <w:t>[KESİNLEŞME TARİHİ]</w:t>
      </w:r>
      <w:r>
        <w:rPr>
          <w:b w:val="0"/>
          <w:i w:val="0"/>
        </w:rPr>
        <w:t xml:space="preserve"> tarihinde kesinleşmiş kararının </w:t>
      </w:r>
      <w:r>
        <w:rPr>
          <w:b/>
          <w:i w:val="0"/>
        </w:rPr>
        <w:t>[AÇIKÇA BELİRTİLEN HÜKÜM]</w:t>
      </w:r>
      <w:r>
        <w:rPr>
          <w:b w:val="0"/>
          <w:i w:val="0"/>
        </w:rPr>
        <w:t xml:space="preserve"> yönünden TANINMASINA; </w:t>
      </w:r>
      <w:r>
        <w:rPr>
          <w:b/>
          <w:i w:val="0"/>
        </w:rPr>
        <w:t>[KONU NÜFUS STATÜSÜ İSE GEREKLİ BİLDİRİMİN YAPILMASINA]</w:t>
      </w:r>
      <w:r>
        <w:rPr>
          <w:b w:val="0"/>
          <w:i w:val="0"/>
        </w:rPr>
        <w:t>; yargılama giderleri ve vekâlet ücretinin tarafların usuli durumuna göre hüküm altına alınmasına karar verilmesini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Davacı / vekili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Usulüne uygun onaylı yabancı karar</w:t>
      </w:r>
    </w:p>
    <w:p>
      <w:pPr>
        <w:widowControl/>
      </w:pPr>
      <w:r>
        <w:rPr>
          <w:b w:val="0"/>
          <w:i w:val="0"/>
        </w:rPr>
        <w:t>2. Kesinleşme belgesi</w:t>
      </w:r>
    </w:p>
    <w:p>
      <w:pPr>
        <w:widowControl/>
      </w:pPr>
      <w:r>
        <w:rPr>
          <w:b w:val="0"/>
          <w:i w:val="0"/>
        </w:rPr>
        <w:t>3. Onaylı Türkçe tercümeler</w:t>
      </w:r>
    </w:p>
    <w:p>
      <w:pPr>
        <w:widowControl/>
      </w:pPr>
      <w:r>
        <w:rPr>
          <w:b w:val="0"/>
          <w:i w:val="0"/>
        </w:rPr>
        <w:t>4. Ülkeye göre apostil/konsolosluk tasdiki</w:t>
      </w:r>
    </w:p>
    <w:p>
      <w:pPr>
        <w:widowControl/>
      </w:pPr>
      <w:r>
        <w:rPr>
          <w:b w:val="0"/>
          <w:i w:val="0"/>
        </w:rPr>
        <w:t>5. Tebligat ve temsil belgeleri</w:t>
      </w:r>
    </w:p>
    <w:p>
      <w:pPr>
        <w:widowControl/>
      </w:pPr>
      <w:r>
        <w:rPr>
          <w:b w:val="0"/>
          <w:i w:val="0"/>
        </w:rPr>
        <w:t>6. Kimlik/nüfus ve hukuki yarar belgeleri</w:t>
      </w:r>
    </w:p>
    <w:p>
      <w:pPr>
        <w:widowControl/>
      </w:pPr>
      <w:r>
        <w:rPr>
          <w:b w:val="0"/>
          <w:i w:val="0"/>
        </w:rPr>
        <w:t>7. Vekâletname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Yabancı Mahkeme Kararının Tanınması Dilekçesi</dc:title>
  <dc:subject>Yabancılar ve Vatandaşlık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