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[YETKİLİ YER]</w:t>
      </w:r>
      <w:r>
        <w:rPr>
          <w:b/>
          <w:i w:val="0"/>
        </w:rPr>
        <w:t xml:space="preserve"> NÖBETÇİ </w:t>
      </w:r>
      <w:r>
        <w:rPr>
          <w:b/>
          <w:i w:val="0"/>
        </w:rPr>
        <w:t>[GÖREVLİ MAHKEME TÜRÜ]</w:t>
      </w:r>
      <w:r>
        <w:rPr>
          <w:b/>
          <w:i w:val="0"/>
        </w:rPr>
        <w:t xml:space="preserve"> MAHKEMESİNE</w:t>
      </w:r>
    </w:p>
    <w:p>
      <w:pPr>
        <w:widowControl/>
        <w:spacing w:after="80"/>
      </w:pPr>
      <w:r>
        <w:rPr>
          <w:b/>
        </w:rPr>
        <w:t xml:space="preserve">Davacı : </w:t>
      </w:r>
      <w:r>
        <w:t>[AD SOYAD/UNVAN, KİMLİK/VERGİ/PASAPORT, ADRES]</w:t>
      </w:r>
    </w:p>
    <w:p>
      <w:pPr>
        <w:widowControl/>
        <w:spacing w:after="80"/>
      </w:pPr>
      <w:r>
        <w:rPr>
          <w:b/>
        </w:rPr>
        <w:t xml:space="preserve">Varsa vekili : </w:t>
      </w:r>
      <w:r>
        <w:t>[AVUKAT ADI, ADRES/UETS]</w:t>
      </w:r>
    </w:p>
    <w:p>
      <w:pPr>
        <w:widowControl/>
        <w:spacing w:after="80"/>
      </w:pPr>
      <w:r>
        <w:rPr>
          <w:b/>
        </w:rPr>
        <w:t xml:space="preserve">Davalı : </w:t>
      </w:r>
      <w:r>
        <w:t>[AD SOYAD/UNVAN, TAM TEBLİGAT ADRESİ]</w:t>
      </w:r>
    </w:p>
    <w:p>
      <w:pPr>
        <w:widowControl/>
        <w:spacing w:after="80"/>
      </w:pPr>
      <w:r>
        <w:rPr>
          <w:b/>
        </w:rPr>
        <w:t xml:space="preserve">Konu : </w:t>
      </w:r>
      <w:r>
        <w:t>[ÜLKE/MAHKEME/TARİH/NO] kararının aşağıdaki eda hükümlerinin tenfizi</w:t>
      </w:r>
    </w:p>
    <w:p>
      <w:pPr>
        <w:widowControl/>
        <w:spacing w:after="80"/>
      </w:pPr>
      <w:r>
        <w:rPr>
          <w:b/>
        </w:rPr>
        <w:t xml:space="preserve">Dava değeri : </w:t>
      </w:r>
      <w:r>
        <w:t>[İCRA EDİLECEK TUTAR; HARCA ESAS DEĞER VE HESAP]</w:t>
      </w:r>
    </w:p>
    <w:p>
      <w:pPr>
        <w:pStyle w:val="Heading1"/>
        <w:widowControl/>
      </w:pPr>
      <w:r>
        <w:rPr>
          <w:b/>
          <w:i w:val="0"/>
        </w:rPr>
        <w:t>I. KARAR VE TENFİZ KAPSAMI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[ÜLKE/MAHKEME]</w:t>
      </w:r>
      <w:r>
        <w:rPr>
          <w:b w:val="0"/>
          <w:i w:val="0"/>
        </w:rPr>
        <w:t xml:space="preserve"> tarafından </w:t>
      </w:r>
      <w:r>
        <w:rPr>
          <w:b/>
          <w:i w:val="0"/>
        </w:rPr>
        <w:t>[DAVANIN KONUSU]</w:t>
      </w:r>
      <w:r>
        <w:rPr>
          <w:b w:val="0"/>
          <w:i w:val="0"/>
        </w:rPr>
        <w:t xml:space="preserve"> hakkında </w:t>
      </w:r>
      <w:r>
        <w:rPr>
          <w:b/>
          <w:i w:val="0"/>
        </w:rPr>
        <w:t>[TARİH/NO]</w:t>
      </w:r>
      <w:r>
        <w:rPr>
          <w:b w:val="0"/>
          <w:i w:val="0"/>
        </w:rPr>
        <w:t xml:space="preserve"> kararı verilmiş ve karar o devlet hukukuna göre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kesinleşmiştir. Davacının talep hakkı </w:t>
      </w:r>
      <w:r>
        <w:rPr>
          <w:b/>
          <w:i w:val="0"/>
        </w:rPr>
        <w:t>[HÜKÜM ALACAKLISI/HALEF]</w:t>
      </w:r>
      <w:r>
        <w:rPr>
          <w:b w:val="0"/>
          <w:i w:val="0"/>
        </w:rPr>
        <w:t xml:space="preserve"> sıfatına dayanmaktadır. Usulüne uygun karar ve kesinleşme belgesi tercümeleriyle sunulmuştur.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Tenfizi istenen hüküm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Miktar / yükümlülük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İlamdaki faiz/gider kapsamı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Yapılan ifa / kalan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[HÜKÜM BENDİ]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 VE PARA BİRİMİ / EDİM]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[İLAMDAKİ SINIR]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[İFA VE BAKİYE]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[DİĞER BENT]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[EDİM]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[KAPSAM]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[BAKİYE]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2. Tenfiz </w:t>
      </w:r>
      <w:r>
        <w:rPr>
          <w:b/>
          <w:i w:val="0"/>
        </w:rPr>
        <w:t>[KARARIN TAMAMI/BELİRTİLEN AYRILABİLİR BENTLERİ]</w:t>
      </w:r>
      <w:r>
        <w:rPr>
          <w:b w:val="0"/>
          <w:i w:val="0"/>
        </w:rPr>
        <w:t xml:space="preserve"> için istenmektedir. Yabancı ilamda yer almayan yeni bir tazminat veya faiz hükmü kurulması istenmemektedir. Karardan sonra yapılan ifa </w:t>
      </w:r>
      <w:r>
        <w:rPr>
          <w:b/>
          <w:i w:val="0"/>
        </w:rPr>
        <w:t>[TARİH/TUTAR]</w:t>
      </w:r>
      <w:r>
        <w:rPr>
          <w:b w:val="0"/>
          <w:i w:val="0"/>
        </w:rPr>
        <w:t xml:space="preserve"> olup bakiye ve kapsam buna göre açıklanmıştır.</w:t>
      </w:r>
    </w:p>
    <w:p>
      <w:pPr>
        <w:pStyle w:val="Heading1"/>
        <w:widowControl/>
      </w:pPr>
      <w:r>
        <w:rPr>
          <w:b/>
          <w:i w:val="0"/>
        </w:rPr>
        <w:t>II. GÖREV, YETKİ VE KARŞILIKLILIK</w:t>
      </w:r>
    </w:p>
    <w:p>
      <w:pPr>
        <w:widowControl/>
        <w:jc w:val="both"/>
      </w:pPr>
      <w:r>
        <w:rPr>
          <w:b w:val="0"/>
          <w:i w:val="0"/>
        </w:rPr>
        <w:t xml:space="preserve">3. Kararın hukuki konusu </w:t>
      </w:r>
      <w:r>
        <w:rPr>
          <w:b/>
          <w:i w:val="0"/>
        </w:rPr>
        <w:t>[İLİŞKİ]</w:t>
      </w:r>
      <w:r>
        <w:rPr>
          <w:b w:val="0"/>
          <w:i w:val="0"/>
        </w:rPr>
        <w:t xml:space="preserve"> olduğundan görevli mahkeme </w:t>
      </w:r>
      <w:r>
        <w:rPr>
          <w:b/>
          <w:i w:val="0"/>
        </w:rPr>
        <w:t>[SEÇİLEN MAHKEME VE DAYANAK]</w:t>
      </w:r>
      <w:r>
        <w:rPr>
          <w:b w:val="0"/>
          <w:i w:val="0"/>
        </w:rPr>
        <w:t xml:space="preserve">tır. Davalının Türkiye’de yerleşim yeri/sakin olduğu yer </w:t>
      </w:r>
      <w:r>
        <w:rPr>
          <w:b/>
          <w:i w:val="0"/>
        </w:rPr>
        <w:t>[YER]</w:t>
      </w:r>
      <w:r>
        <w:rPr>
          <w:b w:val="0"/>
          <w:i w:val="0"/>
        </w:rPr>
        <w:t xml:space="preserve">; bunlar yoksa MÖHUK 51 uyarınca seçilen Ankara/İstanbul/İzmir mahkemesi </w:t>
      </w:r>
      <w:r>
        <w:rPr>
          <w:b/>
          <w:i w:val="0"/>
        </w:rPr>
        <w:t>[YER]</w:t>
      </w:r>
      <w:r>
        <w:rPr>
          <w:b w:val="0"/>
          <w:i w:val="0"/>
        </w:rPr>
        <w:t>dir.</w:t>
      </w:r>
    </w:p>
    <w:p>
      <w:pPr>
        <w:widowControl/>
        <w:jc w:val="both"/>
      </w:pPr>
      <w:r>
        <w:rPr>
          <w:b w:val="0"/>
          <w:i w:val="0"/>
        </w:rPr>
        <w:t xml:space="preserve">4. MÖHUK 54/1-a bakımından karşılıklılık </w:t>
      </w:r>
      <w:r>
        <w:rPr>
          <w:b/>
          <w:i w:val="0"/>
        </w:rPr>
        <w:t>[YÜRÜRLÜKTEKİ ANTLAŞMA / TÜRK İLAMLARININ TENFİZİNİ MÜMKÜN KILAN KANUN / FİİLÎ UYGULAMA]</w:t>
      </w:r>
      <w:r>
        <w:rPr>
          <w:b w:val="0"/>
          <w:i w:val="0"/>
        </w:rPr>
        <w:t xml:space="preserve"> dayanağıyla ileri sürülmektedir. Dayanak </w:t>
      </w:r>
      <w:r>
        <w:rPr>
          <w:b/>
          <w:i w:val="0"/>
        </w:rPr>
        <w:t>[BELGENİN ADI, MADDE, TARİH VE KAYNAK]</w:t>
      </w:r>
      <w:r>
        <w:rPr>
          <w:b w:val="0"/>
          <w:i w:val="0"/>
        </w:rPr>
        <w:t xml:space="preserve"> olup gerekiyorsa Adalet Bakanlığından ilgili ülke uygulamasının sorulması talep edilmektedir. Ülke bilgisi doğrulanmadan varmış gibi beyan edilmemiştir.</w:t>
      </w:r>
    </w:p>
    <w:p>
      <w:pPr>
        <w:pStyle w:val="Heading1"/>
        <w:widowControl/>
      </w:pPr>
      <w:r>
        <w:rPr>
          <w:b/>
          <w:i w:val="0"/>
        </w:rPr>
        <w:t>III. DİĞER TENFİZ KOŞULLARI</w:t>
      </w:r>
    </w:p>
    <w:p>
      <w:pPr>
        <w:widowControl/>
        <w:jc w:val="both"/>
      </w:pPr>
      <w:r>
        <w:rPr>
          <w:b w:val="0"/>
          <w:i w:val="0"/>
        </w:rPr>
        <w:t xml:space="preserve">5. Yabancı mahkemenin uyuşmazlıkla bağlantısı </w:t>
      </w:r>
      <w:r>
        <w:rPr>
          <w:b/>
          <w:i w:val="0"/>
        </w:rPr>
        <w:t>[TARAF/YER/İFA BAĞI]</w:t>
      </w:r>
      <w:r>
        <w:rPr>
          <w:b w:val="0"/>
          <w:i w:val="0"/>
        </w:rPr>
        <w:t xml:space="preserve">dır; Türk mahkemelerinin münhasır yetkisi yönünden durum </w:t>
      </w:r>
      <w:r>
        <w:rPr>
          <w:b/>
          <w:i w:val="0"/>
        </w:rPr>
        <w:t>[AÇIKLAMA]</w:t>
      </w:r>
      <w:r>
        <w:rPr>
          <w:b w:val="0"/>
          <w:i w:val="0"/>
        </w:rPr>
        <w:t xml:space="preserve">dır. Davalıya usulüne uygun tebligat ve savunma olanağı </w:t>
      </w:r>
      <w:r>
        <w:rPr>
          <w:b/>
          <w:i w:val="0"/>
        </w:rPr>
        <w:t>[BELGELER]</w:t>
      </w:r>
      <w:r>
        <w:rPr>
          <w:b w:val="0"/>
          <w:i w:val="0"/>
        </w:rPr>
        <w:t xml:space="preserve"> ile sağlanmıştır. Hükmün Türk kamu düzenine etkisi </w:t>
      </w:r>
      <w:r>
        <w:rPr>
          <w:b/>
          <w:i w:val="0"/>
        </w:rPr>
        <w:t>[SOMUT KONU]</w:t>
      </w:r>
      <w:r>
        <w:rPr>
          <w:b w:val="0"/>
          <w:i w:val="0"/>
        </w:rPr>
        <w:t xml:space="preserve"> bakımından değerlendirilmiştir.</w:t>
      </w:r>
    </w:p>
    <w:p>
      <w:pPr>
        <w:pStyle w:val="Heading1"/>
        <w:widowControl/>
      </w:pPr>
      <w:r>
        <w:rPr>
          <w:b/>
          <w:i w:val="0"/>
        </w:rPr>
        <w:t>DELİLLER / HUKUKİ NEDENLER</w:t>
      </w:r>
    </w:p>
    <w:p>
      <w:pPr>
        <w:widowControl/>
        <w:jc w:val="both"/>
      </w:pPr>
      <w:r>
        <w:rPr>
          <w:b w:val="0"/>
          <w:i w:val="0"/>
        </w:rPr>
        <w:t>Onaylı yabancı ilam, kesinleşme belgesi, Türkçe tercümeler, ülkeye göre tasdik/apostil, savunma/tebligat belgeleri, karşılıklılık dayanağı, ifa ve halefiyet belgeleri; 5718 m. 50–57, ilgili milletlerarası sözleşmeler ve görev bakımından uygulanabilir mevzuat.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[ÜLKE/MAHKEME]</w:t>
      </w:r>
      <w:r>
        <w:rPr>
          <w:b w:val="0"/>
          <w:i w:val="0"/>
        </w:rPr>
        <w:t xml:space="preserve">nin </w:t>
      </w:r>
      <w:r>
        <w:rPr>
          <w:b/>
          <w:i w:val="0"/>
        </w:rPr>
        <w:t>[TARİH/NO]</w:t>
      </w:r>
      <w:r>
        <w:rPr>
          <w:b w:val="0"/>
          <w:i w:val="0"/>
        </w:rPr>
        <w:t xml:space="preserve"> sayılı, </w:t>
      </w:r>
      <w:r>
        <w:rPr>
          <w:b/>
          <w:i w:val="0"/>
        </w:rPr>
        <w:t>[KESİNLEŞME TARİHİ]</w:t>
      </w:r>
      <w:r>
        <w:rPr>
          <w:b w:val="0"/>
          <w:i w:val="0"/>
        </w:rPr>
        <w:t xml:space="preserve"> tarihinde kesinleşmiş kararının tabloda belirtilen </w:t>
      </w:r>
      <w:r>
        <w:rPr>
          <w:b/>
          <w:i w:val="0"/>
        </w:rPr>
        <w:t>[BENTLER/KAPSAM]</w:t>
      </w:r>
      <w:r>
        <w:rPr>
          <w:b w:val="0"/>
          <w:i w:val="0"/>
        </w:rPr>
        <w:t xml:space="preserve"> yönünden TENFİZİNE; gerekirse karşılıklılık konusunda resmî bilgi alınmasına; yargılama giderleri ve kanuni vekâlet ücretinin davalıya yükletilmesine karar verilmesini talep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Davacı / vekili — </w:t>
      </w:r>
      <w:r>
        <w:rPr>
          <w:b/>
          <w:i w:val="0"/>
        </w:rPr>
        <w:t>[AD /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Usulüne uygun onaylı yabancı ilam</w:t>
      </w:r>
    </w:p>
    <w:p>
      <w:pPr>
        <w:widowControl/>
      </w:pPr>
      <w:r>
        <w:rPr>
          <w:b w:val="0"/>
          <w:i w:val="0"/>
        </w:rPr>
        <w:t>2. Kesinleşme belgesi</w:t>
      </w:r>
    </w:p>
    <w:p>
      <w:pPr>
        <w:widowControl/>
      </w:pPr>
      <w:r>
        <w:rPr>
          <w:b w:val="0"/>
          <w:i w:val="0"/>
        </w:rPr>
        <w:t>3. Onaylı Türkçe tercümeler</w:t>
      </w:r>
    </w:p>
    <w:p>
      <w:pPr>
        <w:widowControl/>
      </w:pPr>
      <w:r>
        <w:rPr>
          <w:b w:val="0"/>
          <w:i w:val="0"/>
        </w:rPr>
        <w:t>4. Gereken apostil/tasdik</w:t>
      </w:r>
    </w:p>
    <w:p>
      <w:pPr>
        <w:widowControl/>
      </w:pPr>
      <w:r>
        <w:rPr>
          <w:b w:val="0"/>
          <w:i w:val="0"/>
        </w:rPr>
        <w:t>5. Tebligat/temsil belgeleri</w:t>
      </w:r>
    </w:p>
    <w:p>
      <w:pPr>
        <w:widowControl/>
      </w:pPr>
      <w:r>
        <w:rPr>
          <w:b w:val="0"/>
          <w:i w:val="0"/>
        </w:rPr>
        <w:t>6. Karşılıklılık dayanağı</w:t>
      </w:r>
    </w:p>
    <w:p>
      <w:pPr>
        <w:widowControl/>
      </w:pPr>
      <w:r>
        <w:rPr>
          <w:b w:val="0"/>
          <w:i w:val="0"/>
        </w:rPr>
        <w:t>7. Varsa halefiyet ve ödeme belgeleri</w:t>
      </w:r>
    </w:p>
    <w:p>
      <w:pPr>
        <w:widowControl/>
      </w:pPr>
      <w:r>
        <w:rPr>
          <w:b w:val="0"/>
          <w:i w:val="0"/>
        </w:rPr>
        <w:t>8. Vekâletname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Yabancı Mahkeme Kararının Tenfizi Dilekçesi</dc:title>
  <dc:subject>Yabancılar ve Vatandaşlık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